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05" w:type="dxa"/>
        <w:tblInd w:w="-851" w:type="dxa"/>
        <w:tblLook w:val="04A0" w:firstRow="1" w:lastRow="0" w:firstColumn="1" w:lastColumn="0" w:noHBand="0" w:noVBand="1"/>
      </w:tblPr>
      <w:tblGrid>
        <w:gridCol w:w="687"/>
        <w:gridCol w:w="3849"/>
        <w:gridCol w:w="1276"/>
        <w:gridCol w:w="992"/>
        <w:gridCol w:w="851"/>
        <w:gridCol w:w="851"/>
        <w:gridCol w:w="850"/>
        <w:gridCol w:w="767"/>
        <w:gridCol w:w="792"/>
        <w:gridCol w:w="767"/>
        <w:gridCol w:w="4423"/>
      </w:tblGrid>
      <w:tr w:rsidR="00E87EA6" w:rsidRPr="00E87EA6" w14:paraId="6F412C5E" w14:textId="77777777" w:rsidTr="00E87EA6">
        <w:trPr>
          <w:trHeight w:val="1552"/>
        </w:trPr>
        <w:tc>
          <w:tcPr>
            <w:tcW w:w="161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02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Показатели оценки эффективности деятельности органов местного самоуправления городских округов и муниципальных районов (Указ №607)</w:t>
            </w:r>
          </w:p>
          <w:p w14:paraId="54EEFBDD" w14:textId="68B5C283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Территория: МР Сыктывдинский</w:t>
            </w: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Отчетная дата: 2024</w:t>
            </w:r>
          </w:p>
        </w:tc>
      </w:tr>
      <w:tr w:rsidR="00E87EA6" w:rsidRPr="00E87EA6" w14:paraId="5E99CB3E" w14:textId="77777777" w:rsidTr="00E87EA6">
        <w:trPr>
          <w:trHeight w:val="6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5BE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A731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F598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862E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9B3B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6FE79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5235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8476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6819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80FE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5820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7EA6" w:rsidRPr="00E87EA6" w14:paraId="2220FA53" w14:textId="77777777" w:rsidTr="00E87EA6">
        <w:trPr>
          <w:trHeight w:val="4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109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068F853F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ED1B2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ED1B2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869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ED1B2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64B7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B7EBF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3D0E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097E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0495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B1DB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DD6C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6148" w14:textId="77777777" w:rsidR="00E87EA6" w:rsidRPr="00E87EA6" w:rsidRDefault="00E87EA6" w:rsidP="00E8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7EA6" w:rsidRPr="00E87EA6" w14:paraId="7119B972" w14:textId="77777777" w:rsidTr="00E87EA6">
        <w:trPr>
          <w:trHeight w:val="285"/>
        </w:trPr>
        <w:tc>
          <w:tcPr>
            <w:tcW w:w="68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662FFC9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3B4256" w:fill="3B4256"/>
            <w:vAlign w:val="center"/>
            <w:hideMark/>
          </w:tcPr>
          <w:p w14:paraId="59FA472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3B4256" w:fill="3B4256"/>
            <w:vAlign w:val="center"/>
            <w:hideMark/>
          </w:tcPr>
          <w:p w14:paraId="7187BD1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3B4256" w:fill="3B4256"/>
            <w:vAlign w:val="center"/>
            <w:hideMark/>
          </w:tcPr>
          <w:p w14:paraId="7F6EF29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Отчет</w:t>
            </w: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3B4256" w:fill="3B4256"/>
            <w:vAlign w:val="center"/>
            <w:hideMark/>
          </w:tcPr>
          <w:p w14:paraId="5E5DDB8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3B4256" w:fill="3B4256"/>
            <w:vAlign w:val="center"/>
            <w:hideMark/>
          </w:tcPr>
          <w:p w14:paraId="51BBC54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План</w:t>
            </w:r>
          </w:p>
        </w:tc>
        <w:tc>
          <w:tcPr>
            <w:tcW w:w="76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3B4256" w:fill="3B4256"/>
            <w:vAlign w:val="center"/>
            <w:hideMark/>
          </w:tcPr>
          <w:p w14:paraId="2B8CED1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3B4256" w:fill="3B4256"/>
            <w:vAlign w:val="center"/>
            <w:hideMark/>
          </w:tcPr>
          <w:p w14:paraId="58708E8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Примечание</w:t>
            </w:r>
          </w:p>
        </w:tc>
      </w:tr>
      <w:tr w:rsidR="00E87EA6" w:rsidRPr="00E87EA6" w14:paraId="1438B300" w14:textId="77777777" w:rsidTr="00E87EA6">
        <w:trPr>
          <w:trHeight w:val="300"/>
        </w:trPr>
        <w:tc>
          <w:tcPr>
            <w:tcW w:w="6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2EC3EC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C31359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6E14E1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4C7D218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777CA7E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044199D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2023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3B4256" w:fill="3B4256"/>
            <w:vAlign w:val="center"/>
            <w:hideMark/>
          </w:tcPr>
          <w:p w14:paraId="63B88A6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2024</w:t>
            </w: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39A35AF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7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3B4256" w:fill="3B4256"/>
            <w:vAlign w:val="center"/>
            <w:hideMark/>
          </w:tcPr>
          <w:p w14:paraId="4AE516E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76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3B4256" w:fill="3B4256"/>
            <w:vAlign w:val="center"/>
            <w:hideMark/>
          </w:tcPr>
          <w:p w14:paraId="51ADB5E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4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0291C8B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E87EA6" w:rsidRPr="00E87EA6" w14:paraId="5F3E34D3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E37CAC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D6C4FC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I. Экономическое развитие</w:t>
            </w:r>
          </w:p>
        </w:tc>
      </w:tr>
      <w:tr w:rsidR="00E87EA6" w:rsidRPr="00E87EA6" w14:paraId="554D75CD" w14:textId="77777777" w:rsidTr="00E87EA6">
        <w:trPr>
          <w:trHeight w:val="154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07D7C2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91208BE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3E629A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D7DFB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ADCA8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3FFB4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369,50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E97C94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385,98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10A32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386,00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4EB4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B67D83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392,00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DED99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итогам сплошного наблюдения за деятельностью субъектов малого и среднего предпринимательства (далее – МСП), проведенного в 2020 году число субъектов МСП составило в расчете на 10 тыс. населения 198,3 ед. За 2021 - 2024 годы количество субъектов МСП указанно на основании реестра субъектов МСП размещенного на сайте ИФНС. По состоянию на 31.12.2024 в реестр субъектов МСП включено 828 субъекта.</w:t>
            </w:r>
          </w:p>
        </w:tc>
      </w:tr>
      <w:tr w:rsidR="00E87EA6" w:rsidRPr="00E87EA6" w14:paraId="39D482D1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7AD296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91AAF95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FCECC6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8587F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BE70D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FCAF9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8EA185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B58B1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A4D88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11291B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6D3D46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Значение показателя рассчитано на основании данных сплошного наблюдения за деятельность субъектов малого и среднего предпринимательства за 2020 год, проведенного Территориальным органом Федеральной службы государственной статистики по Республике Коми. Статистических данных предоставляются раз в пять лет.</w:t>
            </w:r>
          </w:p>
        </w:tc>
      </w:tr>
      <w:tr w:rsidR="00E87EA6" w:rsidRPr="00E87EA6" w14:paraId="58B3E531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8AB6FC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3ED108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8A0951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85539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24 722,00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E4FB2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26 173,00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8420E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35 026,00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2EFCD1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109 683,90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9B862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776D9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35 000,00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9B46D1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35 000,00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C9AB0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итогам 2024 года объем инвестиций в основной капитал (за исключением бюджетных средств) в расчете на 1 жителя увеличился в 3 раза по сравнению с 2023 годам. Рост значения показателя произошло за счет увеличения собственных средств на 323,8% по сравнению с 2023 годом.</w:t>
            </w:r>
          </w:p>
        </w:tc>
      </w:tr>
      <w:tr w:rsidR="00E87EA6" w:rsidRPr="00E87EA6" w14:paraId="10E475BC" w14:textId="77777777" w:rsidTr="00E87EA6">
        <w:trPr>
          <w:trHeight w:val="30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86C6FF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310A83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112B42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970CE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D6926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BBFBF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EBF396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67,20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0A27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98F49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7EC486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67,20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37C4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значение показателя рассчитано в соответствии с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методическими рекомендациями, утвержденными Приказом Министерства Республики Коми имущественных и земельных отношений от 08.06.2020 № 13ОД и на основании сведений, представленных Управлением Росреестра по Республике Коми по форме федерального статистического наблюдения № 22-1 «Сведения о наличии и распределении земель по категориям и формам собственности». По состоянию на 01.01.2025 общая площадь территории муниципального района «Сыктывдинский» за исключением площади земельных участков, не являющихся объектами налогообложения в соответствии с законодательством Российской Федерации, составляет 67 663 га, из них площадь земельных участков, являющихся объектами налогообложения земельным налогом, составляет 45 517 га. или 67,2%.</w:t>
            </w:r>
          </w:p>
        </w:tc>
      </w:tr>
      <w:tr w:rsidR="00E87EA6" w:rsidRPr="00E87EA6" w14:paraId="10F3F085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785662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3AD544A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B877E7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0B5E1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248CE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3EC59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32E66D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75,00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2C99D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17262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B20481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75,00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798519" w14:textId="723FC01A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итогам 2024 года наблюдается рост доли прибыльных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сельскохозяйственных организаций по сравнению с уровнем 2023 года и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составила 75%.</w:t>
            </w:r>
          </w:p>
        </w:tc>
      </w:tr>
      <w:tr w:rsidR="00E87EA6" w:rsidRPr="00E87EA6" w14:paraId="0E5FF9E2" w14:textId="77777777" w:rsidTr="00E87EA6">
        <w:trPr>
          <w:trHeight w:val="568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95EC90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452D98D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970BF2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6124B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A3E2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BEFE1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9267A8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84,10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3702C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726A8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79,50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96E90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79,40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ABFEF0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рамках муниципального контракта на выполнение работ по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содержанию автомобильных дорог общего пользования местного значения муниципального района в 2024 году, выполнены следующие работы: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 ремонт автомобильных дорог, задействованных в маршрутах движения школьных автобусов проведен ремонт автомобильной дороги «Подъезд к д. Парчег» протяженностью 1,077 км;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 В рамках контрактов на содержание автомобильных дорог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проведены: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«картами», ямочный ремонт автомобильной дороги «По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с. Выльгорт» - 488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«картами», ямочный ремонт автомобильной дороги «Подъезд к м. Еля-ты» - 207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 Ремонт «картами» автомобильной дороги «д. Савапиян - с. Пажга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 д.Жуэд» - 600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«картами» автомобильной дороги «По с. Лэзым» - 500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«каратами», ямочный ремонт автомобильной дороги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«Подъезд к д. Красная» - 600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Ямочный ремонт автомобильной дороги «Подъездк кварталу «13» с. Выльгорт» - 220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«картами» автомобильной дороги «По с. Палевицы» - 655 м2;- Ремонт «картами» автомобильной дороги «По ул. Гагарина» –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50 м2;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 Ремонт «картами» автомобильной дороги «Подъезд к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сапоговаляльной фабрике – 150 м2.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Всего: 3 470 м2 (ямочный ремонт + ремонт «картами»)</w:t>
            </w:r>
          </w:p>
        </w:tc>
      </w:tr>
      <w:tr w:rsidR="00E87EA6" w:rsidRPr="00E87EA6" w14:paraId="4D9056D2" w14:textId="77777777" w:rsidTr="00CB7481">
        <w:trPr>
          <w:trHeight w:val="407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3020B8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080E4E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BDA47D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03A9E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98C00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0BBB9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F28588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1,90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D7F10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4605B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556758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1,90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E6B3E7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По итогам 2024 года значение показателя по сравнению с 2023 годам снизилось до 1,9 %. В 2024 году администрацией района организованны пассажирские перевозки до сельского поселения «Слудка» (с 2018 года до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указанного сельского поселения отсутствовало регулярное автобусное сообщения).</w:t>
            </w:r>
          </w:p>
        </w:tc>
      </w:tr>
      <w:tr w:rsidR="00E87EA6" w:rsidRPr="00E87EA6" w14:paraId="710A4950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55F8F1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E00D579" w14:textId="77777777" w:rsidR="00E87EA6" w:rsidRPr="00E87EA6" w:rsidRDefault="00E87EA6" w:rsidP="00E87EA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Среднемесячная номинальная начисленная заработная плата работников:</w:t>
            </w:r>
          </w:p>
        </w:tc>
      </w:tr>
      <w:tr w:rsidR="00E87EA6" w:rsidRPr="00E87EA6" w14:paraId="1723E534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2AB716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62A799F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крупных и средних предприятий и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688B69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D23D3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48 407,00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841A5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53 333,00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F3328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57 602,00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FE6446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69 555,00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DBEC3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72 685,00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01623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75 956,00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722351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79 374,00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5BB462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Данный показатель увеличился за счёт увеличения МРОТ. В плановом периоде 2025-2027 годов прогнозируется увеличение среднемесячной номинальной заработной платы на 104,5% (планируемый Банком России уровень инфляции на 2025 год).</w:t>
            </w:r>
          </w:p>
        </w:tc>
      </w:tr>
      <w:tr w:rsidR="00E87EA6" w:rsidRPr="00E87EA6" w14:paraId="58D8C69B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71CA7F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163E7A1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0B9B08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B5145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34 913,00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3DB0E8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39 318,00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C9033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43 348,00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B8E563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49 240,00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8D422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51 456,00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2FE6C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53 771,00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4B4350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56 191,00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625EBA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Данный показатель увеличился за счёт увеличения должностных окладов и за счёт выплат стимулирующего характера. В плановом периоде 2025-2027 годов прогнозируется увеличение среднемесячной номинальной заработной платы на 104,5% (планируемый Банком России уровень инфляции на 2025 год).</w:t>
            </w:r>
          </w:p>
        </w:tc>
      </w:tr>
      <w:tr w:rsidR="00E87EA6" w:rsidRPr="00E87EA6" w14:paraId="5A63BFEF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F481BA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C589FE4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муниципальныx общеобразовательных учреждений: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EFAD4B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BEE64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47 987,00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958A1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53 789,00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E03D3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57 347,00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599808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66 749,00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E3DC0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69 753,00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D12D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72 892,00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547DC2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76 172,00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D4AFA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Данный показатель увеличился за счёт увеличения должностных окладов и за счёт выплат стимулирующего характера. В плановом периоде 2025-2027 годов прогнозируется увеличение среднемесячной номинальной заработной платы на 104,5% (планируемый Банком России уровень инфляции на 2025 год).</w:t>
            </w:r>
          </w:p>
        </w:tc>
      </w:tr>
      <w:tr w:rsidR="00E87EA6" w:rsidRPr="00E87EA6" w14:paraId="077163C3" w14:textId="77777777" w:rsidTr="00E87EA6">
        <w:trPr>
          <w:trHeight w:val="112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FC70FF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2BD206B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учителей муниципальныx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C919BF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19063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52 124,00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0FF0E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58 761,00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9A8D7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61 149,00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A32C2A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72 468,00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61B2F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78 265,00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1BA01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84 526,00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9D8B36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91 288,00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680AC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Данный показатель увеличился за счёт увеличения должностных окладов и за счёт выплат стимулирующего характера. В плановом периоде 2025-2027 годов прогнозируется увеличение среднемесячной номинальной заработной платы на 104,5% (планируемый Банком России уровень инфляции на 2025 год).</w:t>
            </w:r>
          </w:p>
        </w:tc>
      </w:tr>
      <w:tr w:rsidR="00E87EA6" w:rsidRPr="00E87EA6" w14:paraId="04E27A7C" w14:textId="77777777" w:rsidTr="00E87EA6">
        <w:trPr>
          <w:trHeight w:val="558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40CD48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B432594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муниципальных учреждений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A05580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0E3C3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43 182,00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29BF3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47 734,00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99464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53 362,00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62A969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63 402,00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E1106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66 255,00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3F139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69 236,00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9DE547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72 351,00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5BAC02" w14:textId="5801E92D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Рост заработной платы работников учреждений культуры обусловлен реализацией Указа Президента РФ от 7.05.2012 г №597 и реализацией плана мероприятий («Дорожной карты») «Изменения в отраслях социальной сферы, направленные на повышение эффективности сферы культуры в Сыктывдинском районе.  Плановый период 202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годы прогнозируется увеличение среднемесячной номинальной заработной платы на 104.5% (планируемый Банком России уровень инфляции на 2025 год)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</w:tr>
      <w:tr w:rsidR="00E87EA6" w:rsidRPr="00E87EA6" w14:paraId="7016361A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F818B8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7D2F238" w14:textId="77777777" w:rsidR="00E87EA6" w:rsidRPr="00E87EA6" w:rsidRDefault="00E87EA6" w:rsidP="00E87EA6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муниципальных учреждений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2A3141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47076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34 185,00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3F21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37 560,00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AC62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41 240,00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1B18F2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49 997,00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CEA19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52 247,00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19FB7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54 598,00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4CFF2F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57 055,00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A80009" w14:textId="0FD5FEA8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Рост показателя обусловлен выполнением «майских» Указов Президента РФ.  Плановый период на 202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годы прогнозируется увеличение среднемесячной номинальной заработной платы на 104.5% (планируемый Банком России уровень инфляции на 2025 год).</w:t>
            </w:r>
          </w:p>
        </w:tc>
      </w:tr>
      <w:tr w:rsidR="00E87EA6" w:rsidRPr="00E87EA6" w14:paraId="52906300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F2685A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3E2E5A3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II. Дошкольное образование</w:t>
            </w:r>
          </w:p>
        </w:tc>
      </w:tr>
      <w:tr w:rsidR="00E87EA6" w:rsidRPr="00E87EA6" w14:paraId="6C862611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832C71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F0CEA98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D907AE5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78D7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89F14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F9363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5A1892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95,10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17D80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7D1E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96,50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ECD1FE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6,70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4EB51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состоянию на 01 января 2025 года численность детей, охваченных услугами дошкольного образования, составляет 1292 человека (1292х100/1350=95.7, где 1350 - численность детей с 1 до 6 лет в Сыктывдинском районе на 1 января 2024 (данные Комистата).</w:t>
            </w:r>
          </w:p>
        </w:tc>
      </w:tr>
      <w:tr w:rsidR="00E87EA6" w:rsidRPr="00E87EA6" w14:paraId="2F0432C5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16F5DE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87226F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E4E50B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D7B34A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AA0B38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214245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29C3502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10,74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708F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4FBDE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43610E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9,50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3345A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состоянию на 01 января 2025 года в Государственной информационной системе «Электронное образование» зарегистрировано 128 очередников на предоставление места в ДОО (128х100/1350=9.5, где 1350 - численность детей с 1 до 6 лет в Сыктывдинском районе на 1 января 2024 (данные Комистата).</w:t>
            </w:r>
          </w:p>
        </w:tc>
      </w:tr>
      <w:tr w:rsidR="00E87EA6" w:rsidRPr="00E87EA6" w14:paraId="73150E82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F1C894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4CA6CB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4B963C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348A3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A7A5D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93047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21F731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8F311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5B233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663939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218C6E" w14:textId="7332F01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В 2024 году из 10 дошкольных организаций 7 требуют капитального ремонта.  Мероприятия по проведению капитального ремонта учреждений предлагается включить </w:t>
            </w:r>
            <w:r w:rsidR="00FD0553"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государственную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программу «Капитальный ремонт образовательных учреждений».</w:t>
            </w:r>
          </w:p>
        </w:tc>
      </w:tr>
      <w:tr w:rsidR="00E87EA6" w:rsidRPr="00E87EA6" w14:paraId="3B11ACF9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9DA741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CA32D6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III. Общее и дополнительное образование</w:t>
            </w:r>
          </w:p>
        </w:tc>
      </w:tr>
      <w:tr w:rsidR="00E87EA6" w:rsidRPr="00E87EA6" w14:paraId="2251C92E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0259D2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13.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E0AD30F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04FC3E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F1AA25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BD303E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948968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20C346C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7E3D2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D796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6275C1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04482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Реализация мероприятий "Дорожной карты" по подготовке к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сдаче ЕГЭ позволила всем выпускникам муниципальных общеобразовательных учреждений успешно сдать экзамены в 2024 году, в 2025-2027 годы планируется сохранить положительный результат по данному показателю.</w:t>
            </w:r>
          </w:p>
        </w:tc>
      </w:tr>
      <w:tr w:rsidR="00E87EA6" w:rsidRPr="00E87EA6" w14:paraId="6DF3180E" w14:textId="77777777" w:rsidTr="00E87EA6">
        <w:trPr>
          <w:trHeight w:val="279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69FB39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7B98571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34114D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2CA7A2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CBD7E3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C9FDF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C4CD03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87,50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DBBA3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87,50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83EF0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87,50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976B77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87,50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691FBB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муниципальных общеобразовательных учреждений, соответствующих современным требованиям обучения, по итогам 2024 года увеличилась. Для выполнения требований надзорных органов и для поддержки образовательных учреждений в соответствии с современными требованиями были проведены следующие виды ремонтных работ: ремонт асфальтового покрытия дорожек и тротуаров на территории МБДОУ «Детский сад общеразвивающего вида» с. Пажга (2 187,631 тыс. руб.); ремонт лестницы в МБОУ «Выльгортская СОШ №1» (689,694 тыс. руб.); устройство скважины в МАДОУ «Детский сад» с. Лэзым (594,560 тыс. руб.); работы по облицовке стен фасада в МБОУ ДО «ДЮЦ» с. Зеленец (1 599,951 тыс. руб.); ремонт системы отопления и ГВС в МБОУ ДО «ДЮЦ» с. Зеленец (1284,040 тыс. руб.).</w:t>
            </w:r>
          </w:p>
        </w:tc>
      </w:tr>
      <w:tr w:rsidR="00E87EA6" w:rsidRPr="00E87EA6" w14:paraId="0903CB99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1EECA1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0CBE20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8ABAC5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CFF787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FBD7EE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3B9CED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A41CC8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55,56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51160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44,44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C6544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33,33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19CADF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22,22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CACC1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из 9 общеобразовательных организаций 5 (55,56%) требуют капитального ремонта. В 2024 году в рамках федеральной программы «Модернизация школьных систем образования» проведен капитальный ремонт в Яснэгской СОШ, в 2024- 2025 - запланирован капитальный ремонт в Пажгинской СОШ, 2025-2026 - в Зеленецкой СОШ, Выльгортской СОШ№2.</w:t>
            </w:r>
          </w:p>
        </w:tc>
      </w:tr>
      <w:tr w:rsidR="00E87EA6" w:rsidRPr="00E87EA6" w14:paraId="252069D9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1A6662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16.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7A8C6A6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0D98CD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4FE142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25952B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7C7629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71E1D7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5D133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B69BD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2855AC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F94030" w14:textId="3876B1BD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Наблюдается снижение количества детей с I группой здоровья, при этом количество детей со II группой здоровья увеличивается. В целом детей с 1 и 2 группами здоровья ежегодно на высоком уровне (более 95% </w:t>
            </w:r>
            <w:r w:rsidR="00CB7481"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— это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по результатам медосмотров в образовательных организациях).</w:t>
            </w:r>
          </w:p>
        </w:tc>
      </w:tr>
      <w:tr w:rsidR="00E87EA6" w:rsidRPr="00E87EA6" w14:paraId="4B7C5AB6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7897FC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0F7B5E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A09689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5FEE36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E6742E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A7F941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B619C0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AAEE8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8D061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F3036F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B87C11" w14:textId="0389260E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на территории муниципального района не было обучающихся в муниципальных общеобразовательных учреждениях, занимающихся во вторую (третью) смену. В 2026 году в связи с капитальным ремонтом в ВСОШ №2 и Зеленецкой СОШ часть учащихся будут обучаться во вторую смену, в 2027 году - ВСОШ №</w:t>
            </w:r>
            <w:r w:rsidR="00FD0553"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 ВСОШ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№2. Точное количество детей пока не известно.</w:t>
            </w:r>
          </w:p>
        </w:tc>
      </w:tr>
      <w:tr w:rsidR="00E87EA6" w:rsidRPr="00E87EA6" w14:paraId="11FDF663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CB0DD5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18.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8286205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04526C5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Тысяча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7ED1BF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E55FE9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4149B0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58B5F6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18,72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D733A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E4793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80BD33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17,20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B34F8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Увеличение расходов в 2024 году на 1 обучающегося связано с проведением капитальных ремонтов в зданиях образовательных учреждений и увеличением расходов на оплату труда в связи с увеличением МРОТ</w:t>
            </w:r>
          </w:p>
        </w:tc>
      </w:tr>
      <w:tr w:rsidR="00E87EA6" w:rsidRPr="00E87EA6" w14:paraId="23CAE4FE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6E1E47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305B0E6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C6025F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F9D80B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85F123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249C05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2656C1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88,40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F103C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29C29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11A7BD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0D92F1" w14:textId="65A92262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Фактически доля детей 5-18 лет, охваченных дополнительным образованием, составила в 2023 году 75,6%, что подтверждается системой komi.pfdo. В декабре 2024 года доля детей соответствующего возраста, получающая услуги по дополнительному образованию составила 80%.</w:t>
            </w:r>
          </w:p>
        </w:tc>
      </w:tr>
      <w:tr w:rsidR="00E87EA6" w:rsidRPr="00E87EA6" w14:paraId="17B6CE2C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9BFBC0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B9CC17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IV. Культура</w:t>
            </w:r>
          </w:p>
        </w:tc>
      </w:tr>
      <w:tr w:rsidR="00E87EA6" w:rsidRPr="00E87EA6" w14:paraId="0327A63F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B101C9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425A5F3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35C0DA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D83B5B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0DF6B0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61A9A7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5A522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2841D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73A72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9E17F2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D6F2A6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фактической обеспеченности учреждениями культуры по итогам 2024 года составил 93,75% по каждой категории учреждений. Всего на сегодняшний день на территории Сыктывдинского района находится 15 учреждений культурного-досугового типа при потребности 16 учреждений. В 2024 году закрыт Клуб п.Мандач.</w:t>
            </w:r>
          </w:p>
        </w:tc>
      </w:tr>
      <w:tr w:rsidR="00E87EA6" w:rsidRPr="00E87EA6" w14:paraId="7506D27A" w14:textId="77777777" w:rsidTr="00E87EA6">
        <w:trPr>
          <w:trHeight w:val="70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3216D7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47253DD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108350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2E63A8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560651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E12528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FF41F7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67003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7F8FC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5BA8FD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93,75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2C2150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Всего на сегодняшний день на территории Сыктывдинского района находится 15 библиотек при потребности 16 библиотек. В 2024 г. Кемьярская библиотека-филиал была закрыта.</w:t>
            </w:r>
          </w:p>
        </w:tc>
      </w:tr>
      <w:tr w:rsidR="00E87EA6" w:rsidRPr="00E87EA6" w14:paraId="47DDCBCC" w14:textId="77777777" w:rsidTr="00E87EA6">
        <w:trPr>
          <w:trHeight w:val="49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1C5790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FC19C66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199C32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2DFAD2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A031ED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4C2FE3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37A045B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9FA2B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31745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949C44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FB2C43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показатель равен 0, из-за отсутствия на территории муниципального образования парков культуры и отдыха.</w:t>
            </w:r>
          </w:p>
        </w:tc>
      </w:tr>
      <w:tr w:rsidR="00E87EA6" w:rsidRPr="00E87EA6" w14:paraId="6F980D6F" w14:textId="77777777" w:rsidTr="00E87EA6">
        <w:trPr>
          <w:trHeight w:val="196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2E0399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F0D04BC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17B555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38601E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703310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07D2E4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D64B44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34,78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63FB6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33,50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AF831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944F4C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70487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итогам 2024 года значения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к уровню 2023 года снизился на 2,72%.  В 2024 году были проведены следующие работы: завершено строительства МСКЦ в с. Пажга, в 2024 году завершён капитальный ремонт СРДК. В 2025 году планируется ремонт Дома культуры с.Ыб. В 2026 году планируется строительство Дома культуры с.Ыб.</w:t>
            </w:r>
          </w:p>
        </w:tc>
      </w:tr>
      <w:tr w:rsidR="00E87EA6" w:rsidRPr="00E87EA6" w14:paraId="04E455FB" w14:textId="77777777" w:rsidTr="00E87EA6">
        <w:trPr>
          <w:trHeight w:val="70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7485B3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22.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DE09C4E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CD94D2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772A6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4690B6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CE6748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0108B1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B613A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1DD7D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4EF61F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8D7C3F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 территории муниципального района нет объектов культурного наследия, находящихся в муниципальной собственности и требующих консервации или реставрации.</w:t>
            </w:r>
          </w:p>
        </w:tc>
      </w:tr>
      <w:tr w:rsidR="00E87EA6" w:rsidRPr="00E87EA6" w14:paraId="64B71B34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6C3308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929D402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V. Физическая культура и спорт</w:t>
            </w:r>
          </w:p>
        </w:tc>
      </w:tr>
      <w:tr w:rsidR="00E87EA6" w:rsidRPr="00E87EA6" w14:paraId="77EC37F4" w14:textId="77777777" w:rsidTr="00E87EA6">
        <w:trPr>
          <w:trHeight w:val="258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F9B88D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CDE3A2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4691ED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FD1EF8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3DE254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C498AC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0C5E01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48,19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59883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CB5B5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A7B8BF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54,00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B48202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Физкультурно-спортивную работу в районе осуществляют 45 учреждений, с общей численностью занимающихся 9690 человек, что составляет 48,19 % от общего числа населения района в возрасте от 3 до 79 лет. В отчетном году значение показателя увеличилось на 1,9 %, за счет увеличения активизации физкультурно-спортивной работы в общеобразовательных учреждениях района, учреждениях дополнительного образования и в крупных населенных пунктах: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Зеленец, Пажга, Выльгорт. В 2025 году планируется продолжить проведение мероприятий по популяризации здорового образа жизни среди населения. В селе Выльгорт в 2025 году будет обустроена спортивная площадка ГТО и игровая спортивная площадка для волейбола и баскетбола.</w:t>
            </w:r>
          </w:p>
        </w:tc>
      </w:tr>
      <w:tr w:rsidR="00E87EA6" w:rsidRPr="00E87EA6" w14:paraId="07322305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C2B727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23(1).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9D23AF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обучающихся, систематически занимающихся физической культурой и спортом, в общей численности обущающихся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12D988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D41821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5282FF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1C472B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3870BBF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68,74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E8513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69,10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7FA9C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69,54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AA217F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70,10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7ED159" w14:textId="3C8D61E6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показатель увеличился, так как на базе всех 9 общеобразовательных организаций функционируют школьные спортивные клубы (100%), которые зарегистрированы в региональном реестре ШСК (школьных спортивных клубов).</w:t>
            </w:r>
          </w:p>
        </w:tc>
      </w:tr>
      <w:tr w:rsidR="00E87EA6" w:rsidRPr="00E87EA6" w14:paraId="3D769D47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976289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4FF33E5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VI. Жилищное строительство и обеспечение граждан жильем</w:t>
            </w:r>
          </w:p>
        </w:tc>
      </w:tr>
      <w:tr w:rsidR="00E87EA6" w:rsidRPr="00E87EA6" w14:paraId="3002EB1B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A7C726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33DA971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F9A2D9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Квадратный 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D3D60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C6415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C5003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9A7245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40,65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2AD57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42,00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4BC2E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F80996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43,50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8A69A0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Общая площадь жилых помещений, приходящаяся в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среднем на одного жителя, по итогам отчетного года составила 40,65 кв.м. В 2024 году введено жилых домов общей площадью 44386 кв.м., или 109,2% к уровню прошлого года, в том числе за счет индивидуального жилищного строительства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37080 кв.м. (на 102,4% выше уровня 2023 года).</w:t>
            </w:r>
          </w:p>
        </w:tc>
      </w:tr>
      <w:tr w:rsidR="00E87EA6" w:rsidRPr="00E87EA6" w14:paraId="035ABD84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B02255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C5EDC0A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Общая площадь жилых помещений, приходящаяся в среднем на одного жителя, в том числе введенная в действие за один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E2C1AE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Квадратный 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114E1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ED7C2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BFEB9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DBE8F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2,07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95B97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8D3B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8DFB47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2,11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1B9CCB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Общая площадь жилых помещений, приходящаяся в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среднем на одного жителя, по итогам отчетного года составила 40,65 кв.м. В 2024 году введено жилых домов общей площадью 44386 кв.м., или 109,2% к уровню прошлого года, в том числе за счет индивидуального жилищного строительства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37080 кв.м. (на 102,4% выше уровня 2023 года).</w:t>
            </w:r>
          </w:p>
        </w:tc>
      </w:tr>
      <w:tr w:rsidR="00E87EA6" w:rsidRPr="00E87EA6" w14:paraId="5BC33574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B25130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8587FA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Площадь земельных участков, предоставленных для строительства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625669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Гектар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DE32B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4C20E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96D48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A64D3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10,17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0B26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10,20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BE104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583C07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11,40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7CAB4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Администрацией района ведется активная работа по выделению земельных участков для жилищного строительства. В 2024 году предоставлено по договорам аренды и купле-продаже - 165 земельных участков, общей площадью 29,22 га.</w:t>
            </w:r>
          </w:p>
        </w:tc>
      </w:tr>
      <w:tr w:rsidR="00E87EA6" w:rsidRPr="00E87EA6" w14:paraId="2568CE81" w14:textId="77777777" w:rsidTr="00E87EA6">
        <w:trPr>
          <w:trHeight w:val="205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AE6969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B2C8EA1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Площадь земельных участков, предоставленных для строительства в расчете на 10 тыс. человек населения, -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768738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Гектар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25E9D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890CD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BD5F6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  <w:t>39.67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200E19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15,98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DAE6C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D405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ED0F7B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18,00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C0718" w14:textId="2175EB3B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По итогам 2024 году площадь земельных участков, предоставленных для строительства, и составила 15,98 га. в расчете на 10 тыс. населения. 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Значение данного показателя зависит от количества поступивших в адрес администрации муниципального района заявлений от граждан, юридических лиц и индивидуальных предпринимателей о выделении им земельных участков.  В 2024 году было предоставлено земельных участков на условиях аренды и купли-продажи, а также для индивидуального жилищного строительства общей площадью 34,29 га</w:t>
            </w:r>
          </w:p>
        </w:tc>
      </w:tr>
      <w:tr w:rsidR="00E87EA6" w:rsidRPr="00E87EA6" w14:paraId="17890B40" w14:textId="77777777" w:rsidTr="00E87EA6">
        <w:trPr>
          <w:trHeight w:val="196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0C6F9D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26.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C6B88D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46CA05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Квадратный 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50822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864 000,00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DC36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889 920,00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5DE07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913 226,67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07A23B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938 275,56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B899B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1 058 500,05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EED05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1 082 655,16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0BB439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1 106 810,27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1BE0BA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Администрацией района выдается ежегодно более 200 разрешений на строительства жилых домов, срок действия документа 10 лет. Минимальный срок строительства жилого дома 3 года, в течение этого периода граждане не подают документы для ввода объектов в эксплуатацию. Кроме того, увеличивается количество желающих граждан, проживающих в г. Сыктывкаре, иметь частный жилой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дом, для этих целей ими приобретаются земельные участки вблизи города, а именно в Сыктывдинском районе, который расположен вокруг г. Сыктывкара.</w:t>
            </w:r>
          </w:p>
        </w:tc>
      </w:tr>
      <w:tr w:rsidR="00E87EA6" w:rsidRPr="00E87EA6" w14:paraId="2128E75E" w14:textId="77777777" w:rsidTr="00E87EA6">
        <w:trPr>
          <w:trHeight w:val="154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F815B4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26.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096D7F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5E88C5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Квадратный 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55C4BA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2 019 000,00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D031E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2 019 000,00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16F6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2 019 000,00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1F3FF8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2 019 000,00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9FAFA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2 139 848,79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231F1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2 166 048,79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B6CABD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2 192 248,79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08516E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Основными причинами возникновения наличия земельных участков, в отношении которых с момента предоставления в течение 5 лет не получено разрешение на ввод в эксплуатацию, являются:  - отсутствие источников финансирования у застройщиков; - высокие проценты по банковским кредитам и прочие; - сложившаяся судебная практика в пользу предпринимателей и физических лиц в отношении земельных участков, подлежащих изъятию в связи с их не освоением.</w:t>
            </w:r>
          </w:p>
        </w:tc>
      </w:tr>
      <w:tr w:rsidR="00E87EA6" w:rsidRPr="00E87EA6" w14:paraId="36DF7E72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940C51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4D6935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VII. Жилищно-коммунальное хозяйство</w:t>
            </w:r>
          </w:p>
        </w:tc>
      </w:tr>
      <w:tr w:rsidR="00E87EA6" w:rsidRPr="00E87EA6" w14:paraId="78519330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702AF5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27.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D0D3A80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F8A2C8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2DBCE0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57AB96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0288C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2E9B29A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99,65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9068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9BD5F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36B25D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967D4C" w14:textId="2C738DEB" w:rsidR="00E87EA6" w:rsidRPr="00E87EA6" w:rsidRDefault="006164CF" w:rsidP="006164C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4CF">
              <w:rPr>
                <w:rFonts w:ascii="Times New Roman" w:eastAsia="Calibri" w:hAnsi="Times New Roman" w:cs="Times New Roman"/>
                <w:sz w:val="18"/>
                <w:szCs w:val="18"/>
              </w:rPr>
              <w:t>По итогам 2024 года н</w:t>
            </w:r>
            <w:r w:rsidRPr="006164CF">
              <w:rPr>
                <w:rFonts w:ascii="Times New Roman" w:hAnsi="Times New Roman" w:cs="Times New Roman"/>
                <w:sz w:val="18"/>
                <w:szCs w:val="18"/>
              </w:rPr>
              <w:t xml:space="preserve">а территории муниципального района увеличилась по сравнению с 2023 годам количество многоквартирных домов, в которых собственники выбрали и реализуют один из способов управления домом с 99,47% (2023) до 99,65% (2024). </w:t>
            </w:r>
          </w:p>
        </w:tc>
      </w:tr>
      <w:tr w:rsidR="00E87EA6" w:rsidRPr="00E87EA6" w14:paraId="24D69BAB" w14:textId="77777777" w:rsidTr="00E87EA6">
        <w:trPr>
          <w:trHeight w:val="154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C889CA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28.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FEFD65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EFEAFA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BA68B8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F43109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AE0F95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03CAD2E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08CBC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7E09B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947F12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FB0AB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 территории муниципального района из 10 организаций коммунального комплекса 5 организаций имеют в уставном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капитале  долю субъекта Российской Федерации и (или) муниципального района более 25 процентов» МУП «Энергий», ОАО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«Сыктывкарский водоканал», АО «Птицефабрика Зеленецкая», АО «Газпром газораспределение Сыктывкар  ГС» ПАО «Россети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Северо-Запад в Республике Коми  ЭС»</w:t>
            </w:r>
          </w:p>
        </w:tc>
      </w:tr>
      <w:tr w:rsidR="00E87EA6" w:rsidRPr="00E87EA6" w14:paraId="09816B93" w14:textId="77777777" w:rsidTr="00E87EA6">
        <w:trPr>
          <w:trHeight w:val="49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81EC7C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FE2591C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98155C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C4552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3E3A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407A3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89E85C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7FC4D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AE5A5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FCDBD2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DFA9C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Данный показатель сохранен на уровне 100%. </w:t>
            </w:r>
          </w:p>
        </w:tc>
      </w:tr>
      <w:tr w:rsidR="00E87EA6" w:rsidRPr="00E87EA6" w14:paraId="64531BD2" w14:textId="77777777" w:rsidTr="00E87EA6">
        <w:trPr>
          <w:trHeight w:val="216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5089B1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6321C5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B7619C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C8084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F3CC3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EF1EA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7777BA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64,70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CF9C1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A42A2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4F2B19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933B35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По состоянию на 01.01.2024 года в администрации муниципального района в очереди на улучшение жилищных условий состояло 258 чел. В 2024 году сняты с учета 167 чел., из них: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147 – улучшили жилищные условия в рамках программы переселения граждан из ветхого и аварийного жилья;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9 – улучшили жилищные условия в рамках программы предоставления жилья детям-сиротам и лиц, оставшихся без попечения родителей;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11 – по иным республиканским программам, направленных на улучшения жилищных условий.</w:t>
            </w:r>
          </w:p>
        </w:tc>
      </w:tr>
      <w:tr w:rsidR="00E87EA6" w:rsidRPr="00E87EA6" w14:paraId="1E898C27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35F30A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5D9C5E3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VIII. Организация муниципального управления</w:t>
            </w:r>
          </w:p>
        </w:tc>
      </w:tr>
      <w:tr w:rsidR="00E87EA6" w:rsidRPr="00E87EA6" w14:paraId="1355A1F5" w14:textId="77777777" w:rsidTr="00E87EA6">
        <w:trPr>
          <w:trHeight w:val="423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DD2833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000C706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8DFF63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F4747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23E73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69425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C22703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23,70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372CA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B880C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431D73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17,00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195EC6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налоговых и неналоговых доходов бюджета муниципального района «Сыктывдинский»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(далее - доля) за 2024 год составила 28,64 %. Фактический уровень доли в 2024 году по сравнению с 2023 годом (14,89 %) увеличился на 13,75 пункта. За 2024 год в бюджет муниципального района поступило налоговых и неналоговых доходов без учета дополнительного норматива 416,3 млн. руб., что на 30,8 млн. руб. больше показателя 2023 года (385,5 млн.руб.), это произошло за счет увеличения поступлений налогов на совокупный доход, а также доходов от использования имущества. Увеличение показателя (доли налоговых и неналоговых доходов) является положительной оценкой, которое произошло за счет снижения объемов безвозмездных поступлений от других бюджетов бюджетной системы Российской Федерации, в том числе выделенных для реализации адресной программы по переселению граждан из аварийного и ветхого жилья и других. За отчетный период (2024 год) безвозмездные поступления составили - 2 099 874,4 тыс. руб., что ниже показателей 2023 года (2 918 957,8 тыс. руб.) на 819 083,1 тыс. руб.</w:t>
            </w:r>
          </w:p>
        </w:tc>
      </w:tr>
      <w:tr w:rsidR="00E87EA6" w:rsidRPr="00E87EA6" w14:paraId="22E2DDC0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732E72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32.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6DBABDF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45D73E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33983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6269A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7B8A3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67392A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CD6BC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AD899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D8431E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7B7922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 территории муниципального района нет организаций муниципальной формы собственности, находящихся в стадии банкротства имеющих долю основных фондов в основных фондах организаций муниципальной формы собственности</w:t>
            </w:r>
          </w:p>
        </w:tc>
      </w:tr>
      <w:tr w:rsidR="00E87EA6" w:rsidRPr="00E87EA6" w14:paraId="17F65EC3" w14:textId="77777777" w:rsidTr="00E87EA6">
        <w:trPr>
          <w:trHeight w:val="70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461E4C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33.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A92211F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30D8E1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Тысяча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10A41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98 562,00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73750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5E3FC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5C176C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F6A70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739A1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BEBC55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FF6C9C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на территории муниципального района нет объектов незавершенного строительства в установленный муниципальными контрактами сроки.</w:t>
            </w:r>
          </w:p>
        </w:tc>
      </w:tr>
      <w:tr w:rsidR="00E87EA6" w:rsidRPr="00E87EA6" w14:paraId="66B237B6" w14:textId="77777777" w:rsidTr="00E87EA6">
        <w:trPr>
          <w:trHeight w:val="174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19E1A4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9623165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70D93E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EF14A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906F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8C1A2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9D4126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D2B0C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D5182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20BDFF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9CCEB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результате эффективного управления муниципальными финансами и муниципальным долгом МР «Сыктывдинский», а также качественного бюджетного планирования и исполнения местного бюджета удалось не допустить образование задолженности по оплате труда в 2024 году. Данный показатель относится к числу показателей, значение которого отражает лучший результат. В 2025-2027 годах планируется продолжить совершенствовать эффективное управление муниципальными финансами.</w:t>
            </w:r>
          </w:p>
        </w:tc>
      </w:tr>
      <w:tr w:rsidR="00E87EA6" w:rsidRPr="00E87EA6" w14:paraId="5A212DA2" w14:textId="77777777" w:rsidTr="00E87EA6">
        <w:trPr>
          <w:trHeight w:val="132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E10320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E5C52D8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6E2FE9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4CA8D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3 498,81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6015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3 796,96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9F551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4 540,80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38FC99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5 916,81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3674B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6 066,30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283A7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6 066,30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456D01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6 115,00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7A411F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Увеличение расходов бюджета муниципального района «Сыктывдинский» на содержание работников органов местного самоуправления в расчете на одного жителя в 2024 году (5 916,81 руб.) по сравнению с аналогичным периодом прошлого года (4 540,80 руб.) составляет 30,3 % или 1 376,01 руб. Что объясняется изменением системы оплаты труда.</w:t>
            </w:r>
          </w:p>
        </w:tc>
      </w:tr>
      <w:tr w:rsidR="00E87EA6" w:rsidRPr="00E87EA6" w14:paraId="32C7541D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5E084D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36.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15599B4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BF6678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EF924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CB392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5D8AE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919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8A4D5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C5CE8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2B2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D3DCB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Схема территориального планирования разработана и размещена на официальном сайте администрации района в разделе Деятельность/Градостроительство/Утверждённая документация по планировке территории.   </w:t>
            </w:r>
          </w:p>
        </w:tc>
      </w:tr>
      <w:tr w:rsidR="00E87EA6" w:rsidRPr="00E87EA6" w14:paraId="2E9F29A3" w14:textId="77777777" w:rsidTr="00E87EA6">
        <w:trPr>
          <w:trHeight w:val="495"/>
        </w:trPr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3F2AB2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37.</w:t>
            </w:r>
          </w:p>
        </w:tc>
        <w:tc>
          <w:tcPr>
            <w:tcW w:w="384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F9C25F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46892A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ACECD1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44,90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A9DA1B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C5217E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34,60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E6E7EB" w:fill="E6E7EB"/>
            <w:vAlign w:val="center"/>
            <w:hideMark/>
          </w:tcPr>
          <w:p w14:paraId="046C407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F170D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45,00</w:t>
            </w:r>
          </w:p>
        </w:tc>
        <w:tc>
          <w:tcPr>
            <w:tcW w:w="792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81D12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6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923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55,00</w:t>
            </w:r>
          </w:p>
        </w:tc>
        <w:tc>
          <w:tcPr>
            <w:tcW w:w="442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37114A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128167F8" w14:textId="77777777" w:rsidTr="00E87EA6">
        <w:trPr>
          <w:trHeight w:val="915"/>
        </w:trPr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B0D1F7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38.</w:t>
            </w:r>
          </w:p>
        </w:tc>
        <w:tc>
          <w:tcPr>
            <w:tcW w:w="38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17CFC7C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2EEFC3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Тысяча человек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4F65C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24,45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01922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21,55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501DA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21,44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98F9BA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21,46</w:t>
            </w: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53A1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21,48</w:t>
            </w:r>
          </w:p>
        </w:tc>
        <w:tc>
          <w:tcPr>
            <w:tcW w:w="7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667B3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21,50</w:t>
            </w:r>
          </w:p>
        </w:tc>
        <w:tc>
          <w:tcPr>
            <w:tcW w:w="76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A90F7B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21,52</w:t>
            </w:r>
          </w:p>
        </w:tc>
        <w:tc>
          <w:tcPr>
            <w:tcW w:w="4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7C1D6A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 1 января 2025 года по данным Комистата в районе проживает 21462 человек (+20 чел.). Сыктывдинский район - единственный муниципалитет, где сохраняется положительная демографическая ситуация.</w:t>
            </w:r>
          </w:p>
        </w:tc>
      </w:tr>
      <w:tr w:rsidR="00E87EA6" w:rsidRPr="00E87EA6" w14:paraId="673B45E8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97E3D55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B03AE1C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IX. Энергосбережение и повышение энергетической эффективности</w:t>
            </w:r>
          </w:p>
        </w:tc>
      </w:tr>
      <w:tr w:rsidR="00E87EA6" w:rsidRPr="00E87EA6" w14:paraId="2F970C96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7F5B80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8A21A8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в многоквартирных домах: электрическая энергия, кВт/ч на 1 проживающего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DE1283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Киловатт-час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D0275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81DCE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04F29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6DAA4A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2 185,00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EB7DC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2 160,00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45E0D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2 160,00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0D04B6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2 160,00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E8EB4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Снижение значения показателя по итогам 2024 года связано: - переход граждан с электрического отопления своих домов на твердотопливное или газ; - применение в домах энергосберегающих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технологий (энергосберегающих ламп, обогревателей и др.).</w:t>
            </w:r>
          </w:p>
        </w:tc>
      </w:tr>
      <w:tr w:rsidR="00E87EA6" w:rsidRPr="00E87EA6" w14:paraId="6A6317A9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0CAB1C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B121C19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в многоквартирных домах: тепловая энергия, Гкал на 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0CC9C8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Гигакалория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9E091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D0731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DC96E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996937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A4B4E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BD700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380133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0,35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6DE7D1" w14:textId="2CE97141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проведены работы по замене 0,766 км.</w:t>
            </w:r>
            <w:r w:rsidR="006164CF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ветхих тепловых сетей, что позволило сохранить значение показателя на уровне 2023 года. В 2025 году планируется продолжить работу по замене ветхих тепловых и водопроводных сетей.</w:t>
            </w:r>
          </w:p>
        </w:tc>
      </w:tr>
      <w:tr w:rsidR="00E87EA6" w:rsidRPr="00E87EA6" w14:paraId="5067EDDF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68FAD5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0F91775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в многоквартирных домах: горячая вода, куб. метров на 1 проживающего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F058FE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6FB9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1990C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D37F8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FD02D1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5EBD6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94B71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D3FC5D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8,80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94C574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проведены следующие работы по ремонту и замене водопроводных и сетей водоотведения: - осуществлена замена ветхих водопроводных сетей – 1,49 км.; - осуществлена замена ветхих канализационных сетей – 0,19 км.</w:t>
            </w:r>
          </w:p>
        </w:tc>
      </w:tr>
      <w:tr w:rsidR="00E87EA6" w:rsidRPr="00E87EA6" w14:paraId="140D7F17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E1D723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AB422B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в многоквартирных домах: холодная вода, куб. метров на 1 проживающего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BA3B14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D598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35780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4B066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9407C8C" w14:textId="54B4C93E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</w:t>
            </w:r>
            <w:r w:rsidR="00690765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F6E16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30F1E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3BDC09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49,10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92B3EE" w14:textId="37234B6F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проведены следующие работы по ремонту и замене</w:t>
            </w:r>
            <w:r w:rsidR="006164CF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водопроводных и сетей водоотведения: - осуществлена замена ветхих водопроводных сетей – 1,49 км.;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- осуществлена замена ветхих канализационных сетей – 0,19 км.</w:t>
            </w:r>
          </w:p>
        </w:tc>
      </w:tr>
      <w:tr w:rsidR="00E87EA6" w:rsidRPr="00E87EA6" w14:paraId="616E7C47" w14:textId="77777777" w:rsidTr="00E87EA6">
        <w:trPr>
          <w:trHeight w:val="49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4D14FB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CEC592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в многоквартирных домах:природный газ, куб. метров на 1 проживающего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2250B0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25E26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6BDD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1ED99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D8E5A41" w14:textId="5F1792C6" w:rsidR="00E87EA6" w:rsidRPr="00E87EA6" w:rsidRDefault="00042F75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499,21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29513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510,10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1EAB5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510,10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10A0E19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510,10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FADFF5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Указанный показатель удалось сохранить на прежнем уровне.  </w:t>
            </w:r>
          </w:p>
        </w:tc>
      </w:tr>
      <w:tr w:rsidR="00E87EA6" w:rsidRPr="00E87EA6" w14:paraId="101C0618" w14:textId="77777777" w:rsidTr="00E87EA6">
        <w:trPr>
          <w:trHeight w:val="70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6A28FD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57402D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муниципальными бюджетными учреждениями: электрическая энергия, кВт/ч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E9CE71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Киловатт-час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5B1F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D619C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A87C2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60AFC43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07B9A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6A8B5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B71827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122,00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A70FF5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продолжилась работа по внедрению энергосберегающих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br/>
              <w:t>технологий, оборудования и материалов в бюджетной сфере, что позволяет сохранять значение показателя на уровне 2023 года</w:t>
            </w:r>
          </w:p>
        </w:tc>
      </w:tr>
      <w:tr w:rsidR="00E87EA6" w:rsidRPr="00E87EA6" w14:paraId="0962C1F8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E22834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D127230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муниципальными бюджетными учреждениями: тепловая энергия, Гкал на 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7B374E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Гигакалория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98971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E9FB2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556CF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14269D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E25D3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1E6B6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80B549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0,15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B9F116" w14:textId="23404C31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проведены работы по замене 0,766 км.</w:t>
            </w:r>
            <w:r w:rsidR="006164CF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ветхих тепловых сетей, что позволило сохранить значение показателя на уровне 2023 года. В 2025 году планируется продолжить работу по замене ветхих тепловых и водопроводных сетей.</w:t>
            </w:r>
          </w:p>
        </w:tc>
      </w:tr>
      <w:tr w:rsidR="00E87EA6" w:rsidRPr="00E87EA6" w14:paraId="6391D32E" w14:textId="77777777" w:rsidTr="00E87EA6">
        <w:trPr>
          <w:trHeight w:val="49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CB80CE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BD4C507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муниципальными бюджетными учреждениями: горячая вода, куб. метров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C976AB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5F22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86BB4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CC2E4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617065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5B47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D476B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45DB0E7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C5D53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нет горячего водоснабжения</w:t>
            </w:r>
          </w:p>
        </w:tc>
      </w:tr>
      <w:tr w:rsidR="00E87EA6" w:rsidRPr="00E87EA6" w14:paraId="011F8381" w14:textId="77777777" w:rsidTr="00E87EA6">
        <w:trPr>
          <w:trHeight w:val="70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C5F861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7A72BC5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муниципальными бюджетными учреждениями: холодная вода, куб. метров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346E62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F7575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DF0FF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73F1E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0B15460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2D2D9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3B2E5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36E48D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2,26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EDAD55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результате проведенных мероприятий по капитальному ремонту тепловых сетей и сетей водоснабжения, позволило снизить потери в электро- и тепло сетях, а также в сетях водоснабжения.</w:t>
            </w:r>
          </w:p>
        </w:tc>
      </w:tr>
      <w:tr w:rsidR="00E87EA6" w:rsidRPr="00E87EA6" w14:paraId="0549E024" w14:textId="77777777" w:rsidTr="00E87EA6">
        <w:trPr>
          <w:trHeight w:val="915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104956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7E34F7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Удельная величина потребления энергетических ресурсов муниципальными бюджетными учреждениями: природный газ, куб. метров на 1 человека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66CEB3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Кубический метр; 1000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88E17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3EFFD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EAB11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A99967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4,36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2DAFB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BAD59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7AA036E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4,36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6809B9" w14:textId="0E1A536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В 2024 году на территории муниципального района расположено одно дошкольное образовательное учреждение (детский сад на 270 мест в с. Выльгорт</w:t>
            </w:r>
            <w:r w:rsidR="006164CF"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), которое</w:t>
            </w: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 xml:space="preserve"> потребляет природный газ (газовая котельная).</w:t>
            </w:r>
          </w:p>
        </w:tc>
      </w:tr>
      <w:tr w:rsidR="00E87EA6" w:rsidRPr="00E87EA6" w14:paraId="15C413C7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E28882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3FB965B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X. Результаты независимой оценки качества условий оказания услуг муниципальными организациями и иными организациями (за счет бюджетных ассигнований бюджетов муниципальных образований)</w:t>
            </w:r>
          </w:p>
        </w:tc>
      </w:tr>
      <w:tr w:rsidR="00E87EA6" w:rsidRPr="00E87EA6" w14:paraId="7A9263CF" w14:textId="77777777" w:rsidTr="00E87EA6">
        <w:trPr>
          <w:trHeight w:val="69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E37705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FDE8D08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Результаты независимой оценки качества условий оказания услуг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7D53F4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AEA4D2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99FC03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09EDEE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39D9BEE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7D50D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947A9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E30BFC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3976E1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  <w:t>В 2024 году независимая оценка качества оказания образовательных услуг учреждениями культуры не проводилась</w:t>
            </w:r>
          </w:p>
        </w:tc>
      </w:tr>
      <w:tr w:rsidR="00E87EA6" w:rsidRPr="00E87EA6" w14:paraId="566D3207" w14:textId="77777777" w:rsidTr="00E87EA6">
        <w:trPr>
          <w:trHeight w:val="111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D0C06B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16B7B5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Результаты независимой оценки качества условий оказания услуг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366B98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6E8477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80B38E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1932CD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62B368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85,94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D7A26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7DF63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3C5BDA6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90,00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D55D6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  <w:t>В 2024 году проводилась НОКО общеобразовательных</w:t>
            </w:r>
            <w:r w:rsidRPr="00E87EA6">
              <w:rPr>
                <w:rFonts w:ascii="Arial" w:eastAsia="Times New Roman" w:hAnsi="Arial" w:cs="Arial"/>
                <w:color w:val="000080"/>
                <w:kern w:val="0"/>
                <w:sz w:val="18"/>
                <w:szCs w:val="18"/>
                <w:lang w:eastAsia="ru-RU"/>
                <w14:ligatures w14:val="none"/>
              </w:rPr>
              <w:br/>
              <w:t>учреждений Сыктывдинского района, средний балл составил 85,4%, что ниже уровня 2023 года на 5,29% (данные Минобразования РК). Основной причиной снижения качества оказания услуг является недостатки по доступности образовательной деятельности для инвалидов.</w:t>
            </w:r>
          </w:p>
        </w:tc>
      </w:tr>
      <w:tr w:rsidR="00E87EA6" w:rsidRPr="00E87EA6" w14:paraId="107A3E96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62508D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5CFFE56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Результаты независимой оценки качества условий оказания услуг в сфере охраны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75CFCDC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55D790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DF9247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9F7B22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1E7B723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0D98A3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498187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9EFD88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151F6EB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5C0DFCBC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CBFB039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41.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0D8493C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Результаты независимой оценки качества условий оказания услуг в сфере социального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47E441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B05D54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9D4F3B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996A04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28F93B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923B29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98751A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175444B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6DDF508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78F29A4D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FA5A76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5418" w:type="dxa"/>
            <w:gridSpan w:val="10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11475A9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XI. Уровень удовлетворенности</w:t>
            </w:r>
          </w:p>
        </w:tc>
      </w:tr>
      <w:tr w:rsidR="00E87EA6" w:rsidRPr="00E87EA6" w14:paraId="0B52BADC" w14:textId="77777777" w:rsidTr="00E87EA6">
        <w:trPr>
          <w:trHeight w:val="300"/>
        </w:trPr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E1667D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42.</w:t>
            </w:r>
          </w:p>
        </w:tc>
        <w:tc>
          <w:tcPr>
            <w:tcW w:w="38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C9B9F12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качеством дошкольного образования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49322CD6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4EEE98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89,10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C81CD6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82,10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AB3230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89,30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5534ED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80511C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588FB6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3218A0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8B88EFF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30E9BDED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FD744D0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43.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077D6ED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качеством общего (школьного)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07D0337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6F1028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6FB37E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E9C208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6988C1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542EA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32382B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045B3C5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B25B6FC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7046BB35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227F63B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44.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21DF3B3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качеством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21AF1B1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EB7011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DB0ED6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79138E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83,60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0941BD2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A017D7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6364BD0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C075CC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17E2B0F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63DF5942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488DB8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45.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715A02C9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качеством услуг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529BCD3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D3DC26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70,50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5576B1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5B344D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1965BC6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EF8DD3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C4C144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DB2945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6F303A2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318E6C61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A70191D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46.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98022BD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условиями для занятий физкультурой и спортом в их городе/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3C15EC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C5E32B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4CC6D5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18AD0B5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5759B7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BDB5F2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9DD68E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E0E3FA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3ADE747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24779104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FE09A0F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47.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2682FC9B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работой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A2180E8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25AF96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71EDC4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5F667C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8F886D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15A243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A2B8B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73955D96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4434463E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1C470F09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1A030DC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48.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234AEDE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результатами деятельности органов МСУ муниципальных образований 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3A251BC4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3CA712FC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09023C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4B9D8D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8C0B60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4130E8B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A21BD98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B73348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55,00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DB3F83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51DC49B7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6D187BB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49.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F4E5B0A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качеством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C0786BE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27C90762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62D04B4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681A5FE1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6DD298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D901F39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D0ACA7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4205FB5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7A8816B6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E87EA6" w:rsidRPr="00E87EA6" w14:paraId="05B792A2" w14:textId="77777777" w:rsidTr="00E87EA6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B04C63A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50.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51356341" w14:textId="77777777" w:rsidR="00E87EA6" w:rsidRPr="00E87EA6" w:rsidRDefault="00E87EA6" w:rsidP="00E87EA6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Уровень удовлетворенности населения организацией транспортного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7E6EB" w:fill="E7E6EB"/>
            <w:vAlign w:val="center"/>
            <w:hideMark/>
          </w:tcPr>
          <w:p w14:paraId="082D99B2" w14:textId="77777777" w:rsidR="00E87EA6" w:rsidRPr="00E87EA6" w:rsidRDefault="00E87EA6" w:rsidP="00E8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86DF66A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D93158E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EAEA247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6C9478B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16E93A5D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0C70C8BF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E6E7EB" w:fill="E6E7EB"/>
            <w:vAlign w:val="center"/>
            <w:hideMark/>
          </w:tcPr>
          <w:p w14:paraId="5DD1FB63" w14:textId="77777777" w:rsidR="00E87EA6" w:rsidRPr="00E87EA6" w:rsidRDefault="00E87EA6" w:rsidP="00E87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4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6E7EB" w:fill="E6E7EB"/>
            <w:vAlign w:val="center"/>
            <w:hideMark/>
          </w:tcPr>
          <w:p w14:paraId="5BA5E10D" w14:textId="77777777" w:rsidR="00E87EA6" w:rsidRPr="00E87EA6" w:rsidRDefault="00E87EA6" w:rsidP="00E87E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87EA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6D238107" w14:textId="77777777" w:rsidR="00E87EA6" w:rsidRDefault="00E87EA6"/>
    <w:sectPr w:rsidR="00E87EA6" w:rsidSect="00E87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A6"/>
    <w:rsid w:val="00042F75"/>
    <w:rsid w:val="00182575"/>
    <w:rsid w:val="00523824"/>
    <w:rsid w:val="006164CF"/>
    <w:rsid w:val="00690765"/>
    <w:rsid w:val="006E0EA6"/>
    <w:rsid w:val="00773DE3"/>
    <w:rsid w:val="00976597"/>
    <w:rsid w:val="00CB7481"/>
    <w:rsid w:val="00E87EA6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D82"/>
  <w15:chartTrackingRefBased/>
  <w15:docId w15:val="{13BE0B96-8696-4C3E-9B66-E58825A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E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E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E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E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E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E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E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E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E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E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E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87EA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87EA6"/>
    <w:rPr>
      <w:color w:val="800080"/>
      <w:u w:val="single"/>
    </w:rPr>
  </w:style>
  <w:style w:type="paragraph" w:customStyle="1" w:styleId="msonormal0">
    <w:name w:val="msonormal"/>
    <w:basedOn w:val="a"/>
    <w:rsid w:val="00E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3">
    <w:name w:val="xl63"/>
    <w:basedOn w:val="a"/>
    <w:rsid w:val="00E87EA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2"/>
      <w:szCs w:val="22"/>
      <w:lang w:eastAsia="ru-RU"/>
      <w14:ligatures w14:val="none"/>
    </w:rPr>
  </w:style>
  <w:style w:type="paragraph" w:customStyle="1" w:styleId="xl64">
    <w:name w:val="xl64"/>
    <w:basedOn w:val="a"/>
    <w:rsid w:val="00E87EA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E87EA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"/>
    <w:rsid w:val="00E87EA6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ED1B23"/>
      <w:kern w:val="0"/>
      <w:lang w:eastAsia="ru-RU"/>
      <w14:ligatures w14:val="none"/>
    </w:rPr>
  </w:style>
  <w:style w:type="paragraph" w:customStyle="1" w:styleId="xl67">
    <w:name w:val="xl67"/>
    <w:basedOn w:val="a"/>
    <w:rsid w:val="00E87EA6"/>
    <w:pPr>
      <w:pBdr>
        <w:top w:val="single" w:sz="4" w:space="0" w:color="C0C0C0"/>
        <w:left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"/>
    <w:rsid w:val="00E87EA6"/>
    <w:pPr>
      <w:pBdr>
        <w:top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69">
    <w:name w:val="xl69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70">
    <w:name w:val="xl70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71">
    <w:name w:val="xl71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2">
    <w:name w:val="xl72"/>
    <w:basedOn w:val="a"/>
    <w:rsid w:val="00E87EA6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4">
    <w:name w:val="xl74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5">
    <w:name w:val="xl75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6">
    <w:name w:val="xl76"/>
    <w:basedOn w:val="a"/>
    <w:rsid w:val="00E87EA6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E6E7EB" w:fill="E6E7E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8">
    <w:name w:val="xl78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E6E7EB" w:fill="E6E7E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79">
    <w:name w:val="xl79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80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E87EA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1">
    <w:name w:val="xl81"/>
    <w:basedOn w:val="a"/>
    <w:rsid w:val="00E87EA6"/>
    <w:pPr>
      <w:pBdr>
        <w:top w:val="single" w:sz="4" w:space="0" w:color="C0C0C0"/>
        <w:left w:val="single" w:sz="4" w:space="9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E87EA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3">
    <w:name w:val="xl83"/>
    <w:basedOn w:val="a"/>
    <w:rsid w:val="00E87EA6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4">
    <w:name w:val="xl84"/>
    <w:basedOn w:val="a"/>
    <w:rsid w:val="00E87EA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5">
    <w:name w:val="xl85"/>
    <w:basedOn w:val="a"/>
    <w:rsid w:val="00E87EA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E6E7EB" w:fill="E6E7E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6">
    <w:name w:val="xl86"/>
    <w:basedOn w:val="a"/>
    <w:rsid w:val="00E87EA6"/>
    <w:pPr>
      <w:pBdr>
        <w:top w:val="single" w:sz="4" w:space="0" w:color="C0C0C0"/>
        <w:left w:val="single" w:sz="4" w:space="0" w:color="C0C0C0"/>
      </w:pBdr>
      <w:shd w:val="clear" w:color="E6E7EB" w:fill="E6E7E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7">
    <w:name w:val="xl87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kern w:val="0"/>
      <w:sz w:val="18"/>
      <w:szCs w:val="18"/>
      <w:lang w:eastAsia="ru-RU"/>
      <w14:ligatures w14:val="none"/>
    </w:rPr>
  </w:style>
  <w:style w:type="paragraph" w:customStyle="1" w:styleId="xl88">
    <w:name w:val="xl88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E6E7EB" w:fill="E6E7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8"/>
      <w:szCs w:val="18"/>
      <w:lang w:eastAsia="ru-RU"/>
      <w14:ligatures w14:val="none"/>
    </w:rPr>
  </w:style>
  <w:style w:type="paragraph" w:customStyle="1" w:styleId="xl89">
    <w:name w:val="xl89"/>
    <w:basedOn w:val="a"/>
    <w:rsid w:val="00E87EA6"/>
    <w:pPr>
      <w:pBdr>
        <w:left w:val="single" w:sz="4" w:space="0" w:color="C0C0C0"/>
        <w:bottom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90">
    <w:name w:val="xl90"/>
    <w:basedOn w:val="a"/>
    <w:rsid w:val="00E87E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1">
    <w:name w:val="xl91"/>
    <w:basedOn w:val="a"/>
    <w:rsid w:val="00E87EA6"/>
    <w:pPr>
      <w:pBdr>
        <w:top w:val="single" w:sz="4" w:space="0" w:color="C0C0C0"/>
        <w:bottom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2">
    <w:name w:val="xl92"/>
    <w:basedOn w:val="a"/>
    <w:rsid w:val="00E87EA6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3">
    <w:name w:val="xl93"/>
    <w:basedOn w:val="a"/>
    <w:rsid w:val="00E87EA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94">
    <w:name w:val="xl94"/>
    <w:basedOn w:val="a"/>
    <w:rsid w:val="00E87E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95">
    <w:name w:val="xl95"/>
    <w:basedOn w:val="a"/>
    <w:rsid w:val="00E87EA6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6">
    <w:name w:val="xl96"/>
    <w:basedOn w:val="a"/>
    <w:rsid w:val="00E87EA6"/>
    <w:pPr>
      <w:pBdr>
        <w:top w:val="single" w:sz="4" w:space="0" w:color="C0C0C0"/>
        <w:bottom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7">
    <w:name w:val="xl97"/>
    <w:basedOn w:val="a"/>
    <w:rsid w:val="00E87EA6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98">
    <w:name w:val="xl98"/>
    <w:basedOn w:val="a"/>
    <w:rsid w:val="00E87EA6"/>
    <w:pPr>
      <w:pBdr>
        <w:left w:val="single" w:sz="4" w:space="0" w:color="C0C0C0"/>
      </w:pBdr>
      <w:shd w:val="clear" w:color="3B4256" w:fill="3B425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8"/>
      <w:szCs w:val="18"/>
      <w:lang w:eastAsia="ru-RU"/>
      <w14:ligatures w14:val="none"/>
    </w:rPr>
  </w:style>
  <w:style w:type="paragraph" w:customStyle="1" w:styleId="xl99">
    <w:name w:val="xl99"/>
    <w:basedOn w:val="a"/>
    <w:rsid w:val="00E87EA6"/>
    <w:pPr>
      <w:pBdr>
        <w:top w:val="single" w:sz="4" w:space="0" w:color="C0C0C0"/>
        <w:left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100">
    <w:name w:val="xl100"/>
    <w:basedOn w:val="a"/>
    <w:rsid w:val="00E87EA6"/>
    <w:pPr>
      <w:pBdr>
        <w:top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  <w:style w:type="paragraph" w:customStyle="1" w:styleId="xl101">
    <w:name w:val="xl101"/>
    <w:basedOn w:val="a"/>
    <w:rsid w:val="00E87EA6"/>
    <w:pPr>
      <w:pBdr>
        <w:top w:val="single" w:sz="4" w:space="0" w:color="C0C0C0"/>
        <w:right w:val="single" w:sz="4" w:space="0" w:color="C0C0C0"/>
      </w:pBdr>
      <w:shd w:val="clear" w:color="E7E6EB" w:fill="E7E6E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6</cp:revision>
  <cp:lastPrinted>2025-04-28T10:54:00Z</cp:lastPrinted>
  <dcterms:created xsi:type="dcterms:W3CDTF">2025-04-28T09:53:00Z</dcterms:created>
  <dcterms:modified xsi:type="dcterms:W3CDTF">2025-05-07T13:38:00Z</dcterms:modified>
</cp:coreProperties>
</file>