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Доклад  «Организация и проведение профилактической работы по детскому травматизму».</w:t>
      </w:r>
      <w:r>
        <w:rPr>
          <w:b/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3"/>
        <w:ind w:left="-567" w:right="14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 образования администрации муниципального образования муниципального района «Сыктывдинский»   сообщает, что 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целью предупреждения детского дорожно-транспортного травматизма в учреждениях общего и дополнительного образования проведены</w:t>
      </w:r>
      <w:r>
        <w:rPr>
          <w:sz w:val="24"/>
          <w:szCs w:val="24"/>
        </w:rPr>
        <w:t xml:space="preserve"> беседы о правилах поведения на улицах и дорогах, необходимости использования светоотражающих элементов и детских удерживающих устройств, поведении в общественном транспорте, правилам безопасного перехода через проезжую часть, правилах поведения на дорогах</w:t>
      </w:r>
      <w:r>
        <w:rPr>
          <w:sz w:val="24"/>
          <w:szCs w:val="24"/>
        </w:rPr>
        <w:t xml:space="preserve"> в зависимости от времени года.</w:t>
      </w:r>
      <w:r>
        <w:rPr>
          <w:sz w:val="24"/>
          <w:szCs w:val="24"/>
        </w:rPr>
      </w:r>
    </w:p>
    <w:p>
      <w:pPr>
        <w:pStyle w:val="62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муниципальных образовательных уч</w:t>
      </w:r>
      <w:r>
        <w:rPr>
          <w:rFonts w:ascii="Times New Roman" w:hAnsi="Times New Roman" w:cs="Times New Roman"/>
          <w:sz w:val="24"/>
          <w:szCs w:val="24"/>
        </w:rPr>
        <w:t xml:space="preserve">реждениях Сыктывдинского района  работа по профилактике  детского травматизма  и гибели несовершеннолетних  от внешних факторов  строится  на плановой  основе. Данная  работа проводится педагогами  как с  родителями несовершеннолетних, так и с детьми.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</w:t>
      </w:r>
      <w:r>
        <w:rPr>
          <w:rFonts w:ascii="Times New Roman" w:hAnsi="Times New Roman" w:cs="Times New Roman"/>
          <w:sz w:val="24"/>
          <w:szCs w:val="24"/>
        </w:rPr>
        <w:t xml:space="preserve">ричин работа родителей и педагогических работников по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преждению несчастных случаев ве</w:t>
      </w:r>
      <w:r>
        <w:rPr>
          <w:rFonts w:ascii="Times New Roman" w:hAnsi="Times New Roman" w:cs="Times New Roman"/>
          <w:sz w:val="24"/>
          <w:szCs w:val="24"/>
        </w:rPr>
        <w:t xml:space="preserve">дется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направлениях: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безопасной среды пребывания ребенка, обеспечение надзора,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систематическое обучение детей основам профилактики несчастных случаев.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 создания  </w:t>
      </w:r>
      <w:r>
        <w:rPr>
          <w:rFonts w:ascii="Times New Roman" w:hAnsi="Times New Roman" w:cs="Times New Roman"/>
          <w:sz w:val="24"/>
          <w:szCs w:val="24"/>
        </w:rPr>
        <w:t xml:space="preserve">безопасной среды пребывания ребенка </w:t>
      </w:r>
      <w:r>
        <w:rPr>
          <w:rFonts w:ascii="Times New Roman" w:hAnsi="Times New Roman" w:cs="Times New Roman"/>
          <w:sz w:val="24"/>
          <w:szCs w:val="24"/>
        </w:rPr>
        <w:t xml:space="preserve">проводится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досуга ребенка, включение его в интересные и полезные развивающие занятия;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ограничение опасных условий, обеспечение недоступности для ребенка опасных средств и веществ;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</w:t>
      </w:r>
      <w:r>
        <w:rPr>
          <w:rFonts w:ascii="Times New Roman" w:hAnsi="Times New Roman" w:cs="Times New Roman"/>
          <w:sz w:val="24"/>
          <w:szCs w:val="24"/>
        </w:rPr>
        <w:t xml:space="preserve">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бучение детей основам профилактики несчастных случаев </w:t>
      </w:r>
      <w:r>
        <w:rPr>
          <w:rFonts w:ascii="Times New Roman" w:hAnsi="Times New Roman" w:cs="Times New Roman"/>
          <w:sz w:val="24"/>
          <w:szCs w:val="24"/>
        </w:rPr>
        <w:t xml:space="preserve">проводится по следующим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регулярное инструктирование ребенка о правилах и мерах безопасного поведения в быту, на улицах, дороге, </w:t>
      </w:r>
      <w:r>
        <w:rPr>
          <w:rFonts w:ascii="Times New Roman" w:hAnsi="Times New Roman" w:cs="Times New Roman"/>
          <w:sz w:val="24"/>
          <w:szCs w:val="24"/>
        </w:rPr>
        <w:t xml:space="preserve">транспорте, на игровых и спортив</w:t>
      </w:r>
      <w:r>
        <w:rPr>
          <w:rFonts w:ascii="Times New Roman" w:hAnsi="Times New Roman" w:cs="Times New Roman"/>
          <w:sz w:val="24"/>
          <w:szCs w:val="24"/>
        </w:rPr>
        <w:t xml:space="preserve">ных площадках и т.п.;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обучение ребенка (особенно подростка) противостоянию подстрекательству к опасному поведен</w:t>
      </w:r>
      <w:r>
        <w:rPr>
          <w:rFonts w:ascii="Times New Roman" w:hAnsi="Times New Roman" w:cs="Times New Roman"/>
          <w:sz w:val="24"/>
          <w:szCs w:val="24"/>
        </w:rPr>
        <w:t xml:space="preserve">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обучение ребенка элементарным мерам первой помощи, и, прежде всего, обеспечение возможности обратиться за помощью к взрослым.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993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планировании перевозок каждая образовательная организация направляет пакет документов в ГИБДД, на местах издаются приказы, проводятся инструктажи, всегда присутствуют сопровождающие. Т</w:t>
      </w:r>
      <w:r>
        <w:rPr>
          <w:sz w:val="24"/>
          <w:szCs w:val="24"/>
        </w:rPr>
        <w:t xml:space="preserve">акже сообщаем, что в выездные лагеря перевозки групп детей и подростков осуществляются через ГАУДО РК «Республиканский центр детско-юношеского спорта и туризма».</w:t>
      </w:r>
      <w:r>
        <w:rPr>
          <w:sz w:val="24"/>
          <w:szCs w:val="24"/>
        </w:rPr>
      </w:r>
    </w:p>
    <w:p>
      <w:pPr>
        <w:ind w:left="-567" w:firstLine="127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 время функционирования  ДОЛ с дневным пребыванием и ЛТО  много </w:t>
      </w:r>
      <w:r>
        <w:rPr>
          <w:bCs/>
          <w:sz w:val="24"/>
          <w:szCs w:val="24"/>
        </w:rPr>
        <w:t xml:space="preserve">внимания уделяется безопасности детей: проведены  профилактические беседы с детьми по правилам поведения на водных объектах, по правилам пожарной безопасности, по правилам дорожного движения. Вопросы безопасности, в  том числе вопросы антитеррористической </w:t>
      </w:r>
      <w:r>
        <w:rPr>
          <w:bCs/>
          <w:sz w:val="24"/>
          <w:szCs w:val="24"/>
        </w:rPr>
        <w:t xml:space="preserve">защищенности организаций  отдыха  находятся  на постоянном  контроле  руководства  администрации района, образовательных  учреждений. Все объекты (территории) своевременно обследованы  и категорированы, имеют действующие паспорта  безопасности.  </w:t>
      </w:r>
      <w:r>
        <w:rPr>
          <w:bCs/>
          <w:sz w:val="24"/>
          <w:szCs w:val="24"/>
        </w:rPr>
        <w:t xml:space="preserve">Согласно</w:t>
      </w:r>
      <w:r>
        <w:rPr>
          <w:bCs/>
          <w:sz w:val="24"/>
          <w:szCs w:val="24"/>
        </w:rPr>
        <w:t xml:space="preserve"> утвержденного  графика  проведения межведомственных рейдовых мероприятий по проверке мест массового нахождения несовершеннолетних, в том ч</w:t>
      </w:r>
      <w:r>
        <w:rPr>
          <w:bCs/>
          <w:sz w:val="24"/>
          <w:szCs w:val="24"/>
        </w:rPr>
        <w:t xml:space="preserve">исле водоемов, расположенных на территории Сыктывдинского района  специалистами субъектов профилактики в летний период   проводятся  рейды на карьер с.Выльгорт, водоемы п.Нювчим, берег реки Вычегда (д.Малая Слуда, д. Парчег), берег реки Сысола (Ыб, Яснэг);</w:t>
      </w:r>
      <w:r>
        <w:rPr>
          <w:bCs/>
          <w:sz w:val="24"/>
          <w:szCs w:val="24"/>
        </w:rPr>
      </w:r>
    </w:p>
    <w:p>
      <w:pPr>
        <w:ind w:left="-567"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В настоящее время проверяется  готовность школ к открытию ДОЛ с дневным пребыванием и ЛТО. </w:t>
      </w:r>
      <w:r>
        <w:rPr>
          <w:sz w:val="24"/>
          <w:szCs w:val="24"/>
        </w:rPr>
        <w:t xml:space="preserve">Проверены локальные нормативные акты, инструкции по охране труда и технике безопасности для работников и воспитанников детских оздоровительных лагерей, журналы проведения инструктажей, личные медицинские книжки работников, осмотрены помещения, в которых </w:t>
      </w:r>
      <w:r>
        <w:rPr>
          <w:sz w:val="24"/>
          <w:szCs w:val="24"/>
        </w:rPr>
        <w:t xml:space="preserve"> будут </w:t>
      </w:r>
      <w:r>
        <w:rPr>
          <w:sz w:val="24"/>
          <w:szCs w:val="24"/>
        </w:rPr>
        <w:t xml:space="preserve">ра</w:t>
      </w:r>
      <w:r>
        <w:rPr>
          <w:sz w:val="24"/>
          <w:szCs w:val="24"/>
        </w:rPr>
        <w:t xml:space="preserve">сполагаться </w:t>
      </w:r>
      <w:r>
        <w:rPr>
          <w:sz w:val="24"/>
          <w:szCs w:val="24"/>
        </w:rPr>
        <w:t xml:space="preserve"> дети, эвакуационные выходы, состояние спортивных сооружений на спортивных площадках, расположенных на территории образовательных учреждений.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Во время проведения детских площадок воспитатели  и сотрудники Госавтоинспекции проводят   беседы по предупреждению детского травматизма на дорогах, во время функционирования детских площадок также </w:t>
      </w:r>
      <w:r>
        <w:rPr>
          <w:rFonts w:eastAsia="Times New Roman"/>
          <w:bCs/>
          <w:sz w:val="24"/>
          <w:szCs w:val="24"/>
        </w:rPr>
        <w:t xml:space="preserve">проведены беседы </w:t>
      </w:r>
      <w:r>
        <w:rPr>
          <w:rFonts w:eastAsia="Times New Roman"/>
          <w:sz w:val="24"/>
          <w:szCs w:val="24"/>
        </w:rPr>
        <w:t xml:space="preserve">«Путешествие в страну дорожного движения», «Правила безопасного поведения на дорогах и на транспорте», «Я – пешеход», «Дорога – это опасно», 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«Безопасный маршрут движения в школу», «Знаем правила на 5», проведены </w:t>
      </w:r>
      <w:r>
        <w:rPr>
          <w:rFonts w:eastAsia="Times New Roman"/>
          <w:color w:val="000000"/>
          <w:sz w:val="24"/>
          <w:szCs w:val="24"/>
        </w:rPr>
        <w:t xml:space="preserve">экскурсии к пешеходному переходу, остановке общественного транспорта</w:t>
      </w:r>
      <w:r>
        <w:rPr>
          <w:rFonts w:eastAsia="Times New Roman"/>
          <w:color w:val="000000"/>
          <w:sz w:val="24"/>
          <w:szCs w:val="24"/>
        </w:rPr>
        <w:t xml:space="preserve"> с практическим занятием «Как перейти улицу».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62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на 2024-2025г. п</w:t>
      </w:r>
      <w:r>
        <w:rPr>
          <w:rFonts w:ascii="Times New Roman" w:hAnsi="Times New Roman" w:cs="Times New Roman"/>
          <w:sz w:val="24"/>
          <w:szCs w:val="24"/>
        </w:rPr>
        <w:t xml:space="preserve">родолжить работу  по профилактике  детского травматизма и гибели 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тних  от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организации работы по профилактике правонарушений и преступлений в образовательных организациях».</w:t>
      </w:r>
      <w:r>
        <w:rPr>
          <w:b/>
          <w:sz w:val="24"/>
          <w:szCs w:val="24"/>
        </w:rPr>
      </w:r>
    </w:p>
    <w:p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-567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Анализ состояния преступности и правонарушений среди несовершеннолетних показывает, что по итогам 12 месяцев 2024 года  в ОМВД России по Сыктывдинскому району зарегистрировано</w:t>
      </w:r>
      <w:r>
        <w:rPr>
          <w:sz w:val="24"/>
          <w:szCs w:val="24"/>
        </w:rPr>
        <w:t xml:space="preserve"> 346 преступлений  (АППГ-431) (-19, 7%), окончено 195  преступлений (АППГ-223) (-12,6%).  От общего числа оконченных преступлений несовершеннолетними и при их участии на территории  МР «Сыктывдинский» совершено 9 преступлений (АППГ-1).  В 2023,  2024 году </w:t>
      </w:r>
      <w:r>
        <w:rPr>
          <w:sz w:val="24"/>
          <w:szCs w:val="24"/>
        </w:rPr>
        <w:t xml:space="preserve">обучающимися</w:t>
      </w:r>
      <w:r>
        <w:rPr>
          <w:sz w:val="24"/>
          <w:szCs w:val="24"/>
        </w:rPr>
        <w:t xml:space="preserve"> образов</w:t>
      </w:r>
      <w:r>
        <w:rPr>
          <w:sz w:val="24"/>
          <w:szCs w:val="24"/>
        </w:rPr>
        <w:t xml:space="preserve">ательных организаций преступления не совершены. Сотрудниками  ПДН за 12 месяцев 2024г. за совершение общественно-опасных деяний в ЦВСНП помещено 4 несовершеннолетних (в 2023-12), из них 1 несовершеннолетний помещен для направления его в  СУВУЗТ (в 2023-4).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12 месяцев 2024 года  совершено 19  общественно опасных деяний (в 2023-16), данные ООД были совершены 19-ю несовершеннолетними (в 2023-115). 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Аналитическая таблица совершенных ООД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учащимися общеобразовательных учреждений  за 12 месяцев  2022, 2023, 2024 года.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25"/>
        <w:tblW w:w="0" w:type="auto"/>
        <w:tblInd w:w="0" w:type="dxa"/>
        <w:tblLook w:val="04A0" w:firstRow="1" w:lastRow="0" w:firstColumn="1" w:lastColumn="0" w:noHBand="0" w:noVBand="1"/>
      </w:tblPr>
      <w:tblGrid>
        <w:gridCol w:w="2705"/>
        <w:gridCol w:w="2405"/>
        <w:gridCol w:w="2406"/>
        <w:gridCol w:w="2055"/>
      </w:tblGrid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Образовательная организация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Число ООД/число Н/л, сов-х ООД за 12 месяцев 2022г.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Число ООД/число Н/л, сов-х ООД за 12 месяцев 2023г.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Число ООД/число Н/л, сов-х ООД за 12 месяцев 2024г.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«Пажгинская СОШ»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2ООД/2 лица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2ООД/2лица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«Зеленецкая СОШ»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1ООД/1 лицо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8ООД/8лиц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«Выльгортская </w:t>
            </w:r>
            <w:r>
              <w:rPr>
                <w:sz w:val="24"/>
                <w:szCs w:val="24"/>
                <w:lang w:eastAsia="en-US"/>
              </w:rPr>
              <w:t xml:space="preserve">СОШ №2»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4ООД/4 лиц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9ООД/8лиц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7ООД/7лиц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«Ыбская 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2ООД/2 лицо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2ООД/2 лица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МБОУ «Шошкинская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1ООД/1лицо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«Зеленецкая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1ООД/1 лицо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«Выльгортская СОШ №1»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ООД/2 лица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2ООД/2 лица</w:t>
            </w:r>
            <w:r>
              <w:rPr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1ООД/1лицо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Всего: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9ООД/ 9 лиц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ООД/15 лиц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ООД/19лиц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 xml:space="preserve">22 октября 2024 года в связи с ростом преступности, общественно-опасных деяний среди несовершеннолетних на заседании комиссии был рассмотрен профилактический вопрос о работе советов профилактики в об</w:t>
      </w:r>
      <w:r>
        <w:rPr>
          <w:rFonts w:eastAsia="Times New Roman"/>
          <w:sz w:val="24"/>
          <w:szCs w:val="24"/>
        </w:rPr>
        <w:t xml:space="preserve">разовательных организациях МБОУ «ВСОШ №2», МБОУ «Зеленецкая СОШ», в которых произошел рост общественно-опасных деяний (Постановление КпДН и ЗП № 21).  01 ноября 2024 года на базе МБОУ «Ыбская СОШ» проведено выездное заседание Совета профилактики с участием</w:t>
      </w:r>
      <w:r>
        <w:rPr>
          <w:rFonts w:eastAsia="Times New Roman"/>
          <w:sz w:val="24"/>
          <w:szCs w:val="24"/>
        </w:rPr>
        <w:t xml:space="preserve"> Комиссии и отдела опеки и попечительства администрации МР «Сыктывдинский»,  </w:t>
      </w:r>
      <w:r>
        <w:rPr>
          <w:rFonts w:eastAsia="Times New Roman"/>
          <w:sz w:val="24"/>
          <w:szCs w:val="24"/>
        </w:rPr>
        <w:t xml:space="preserve">31.01.2025</w:t>
      </w:r>
      <w:r>
        <w:rPr>
          <w:rFonts w:eastAsia="Times New Roman"/>
          <w:sz w:val="24"/>
          <w:szCs w:val="24"/>
        </w:rPr>
        <w:t xml:space="preserve">г. в МБОУ «Зеленецкая СОШ» проведено выездное заседание Комиссии.</w:t>
      </w:r>
      <w:r>
        <w:rPr>
          <w:rFonts w:eastAsia="Times New Roman"/>
          <w:sz w:val="24"/>
          <w:szCs w:val="24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22 мая 2025г. </w:t>
      </w:r>
      <w:r>
        <w:rPr>
          <w:sz w:val="22"/>
          <w:szCs w:val="22"/>
        </w:rPr>
        <w:t xml:space="preserve">года на учете в ГПДН ОМВД, КпДН и ЗП Сыктывдинского района стоит </w:t>
      </w:r>
      <w:r>
        <w:rPr>
          <w:sz w:val="22"/>
          <w:szCs w:val="22"/>
        </w:rPr>
        <w:t xml:space="preserve">58 несовершеннолетних, 1</w:t>
      </w:r>
      <w:r>
        <w:rPr>
          <w:sz w:val="22"/>
          <w:szCs w:val="22"/>
        </w:rPr>
        <w:t xml:space="preserve"> группы антиобщественной направлен</w:t>
      </w:r>
      <w:r>
        <w:rPr>
          <w:sz w:val="22"/>
          <w:szCs w:val="22"/>
        </w:rPr>
        <w:t xml:space="preserve">ности, в состав которых входит 2</w:t>
      </w:r>
      <w:r>
        <w:rPr>
          <w:sz w:val="22"/>
          <w:szCs w:val="22"/>
        </w:rPr>
        <w:t xml:space="preserve"> подростков (МБОУ «Яснэгская СОШ»). </w:t>
      </w:r>
      <w:r>
        <w:rPr>
          <w:sz w:val="22"/>
          <w:szCs w:val="22"/>
        </w:rPr>
      </w:r>
    </w:p>
    <w:p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sz w:val="22"/>
          <w:szCs w:val="22"/>
        </w:rPr>
        <w:t xml:space="preserve">В 2024г. преступлений, совершенных учащимися, нет. </w:t>
      </w:r>
      <w:r>
        <w:rPr>
          <w:rFonts w:eastAsia="Times New Roman"/>
          <w:sz w:val="24"/>
          <w:szCs w:val="24"/>
        </w:rPr>
      </w:r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Аналитическая таблица совершенных </w:t>
      </w:r>
      <w:r>
        <w:rPr>
          <w:b/>
          <w:sz w:val="24"/>
          <w:szCs w:val="24"/>
        </w:rPr>
        <w:t xml:space="preserve">административных</w:t>
      </w:r>
      <w:r>
        <w:rPr>
          <w:b/>
          <w:sz w:val="24"/>
          <w:szCs w:val="24"/>
        </w:rPr>
        <w:t xml:space="preserve"> правонарушений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учащимися общеобразовательных учреждений 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12 месяцев 2023 и 12 месяцев 2024г.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1660"/>
        <w:gridCol w:w="1276"/>
        <w:gridCol w:w="1559"/>
        <w:gridCol w:w="155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Учебное заведение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учащихся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правонарушений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12 мес. 2023г.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12 мес. 2024г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12 мес. 2023г.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12 мес. 2024г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«Пажгинская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«ВСОШ №2»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«Шошкинская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«Палевицкая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«Часовская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«Зеленецкая СОШ»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ind w:left="36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«Выльгортская СОШ №1»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 w:clear="all"/>
            </w:r>
            <w:r>
              <w:rPr>
                <w:b/>
                <w:sz w:val="24"/>
                <w:szCs w:val="24"/>
                <w:lang w:eastAsia="en-US"/>
              </w:rPr>
              <w:t xml:space="preserve">Всего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11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15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</w:r>
    </w:p>
    <w:p>
      <w:pPr>
        <w:contextualSpacing/>
        <w:ind w:left="450"/>
        <w:jc w:val="both"/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Предложения в проект решения: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contextualSpacing/>
        <w:ind w:left="450"/>
        <w:jc w:val="both"/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совместно с ГПДН ОМВД продолжить  проведение профилактических бесед (лекций), направленных на недопущение совершения противоправных деяний, разъяснение уголовной и административной ответственности несовершеннолетних.</w:t>
      </w:r>
      <w:r>
        <w:rPr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Продолжить проведение межведомственных рейдов совместно с субъектами профилактики, с целью раннего выявления семей и детей, находящихся в социально-опасном положении.</w:t>
      </w:r>
      <w:r>
        <w:rPr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Педагогам образовательных организаций </w:t>
      </w:r>
      <w:r>
        <w:rPr>
          <w:sz w:val="24"/>
          <w:szCs w:val="24"/>
        </w:rPr>
        <w:t xml:space="preserve">продолжить работу по вовлечению всех учащихся к занятиям в кружках, спортивных клубах, волонтерских отрядах, детских молодёжных организациях и сообществах, созданных в школе, конкурсах и соревнованиях различного уровня и направления. </w:t>
      </w:r>
      <w:r>
        <w:rPr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 с</w:t>
      </w:r>
      <w:r>
        <w:rPr>
          <w:sz w:val="24"/>
          <w:szCs w:val="24"/>
        </w:rPr>
        <w:t xml:space="preserve">овершенствовать деятельность школьных служб медиации (примирения).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 Продолжить практику организации досуга и занятости, в том числе в летний период, несовершеннолетних, </w:t>
      </w:r>
      <w:r>
        <w:rPr>
          <w:sz w:val="24"/>
          <w:szCs w:val="24"/>
        </w:rPr>
        <w:t xml:space="preserve">состоящих</w:t>
      </w:r>
      <w:r>
        <w:rPr>
          <w:sz w:val="24"/>
          <w:szCs w:val="24"/>
        </w:rPr>
        <w:t xml:space="preserve"> на профилактическом учете. </w:t>
      </w:r>
      <w:r>
        <w:rPr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 w:line="2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постоянной основе во взаимодействии с администрациями образовательных организаций, отрядами ЮИД, активными группами «Родительский патруль» проводить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информационно-пропагандистские мероприятия и акции, направленные на формирование культуры поведения   на дорогах, в том числе профилактику наиболее опасных нарушений ПДД РФ,   а также мероприятий по обучению детей основам правил дорожного  движения,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в периоды нахождения детей на каникулах.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numPr>
          <w:ilvl w:val="1"/>
          <w:numId w:val="1"/>
        </w:numPr>
        <w:contextualSpacing/>
        <w:jc w:val="both"/>
        <w:spacing w:after="200" w:line="260" w:lineRule="auto"/>
        <w:rPr>
          <w:sz w:val="24"/>
          <w:szCs w:val="24"/>
        </w:rPr>
      </w:pPr>
      <w:r>
        <w:rPr>
          <w:sz w:val="24"/>
          <w:szCs w:val="24"/>
        </w:rPr>
        <w:t xml:space="preserve"> На постоянной основе осуществлять информирование родителей и законных представителей несовершеннолет</w:t>
      </w:r>
      <w:r>
        <w:rPr>
          <w:sz w:val="24"/>
          <w:szCs w:val="24"/>
        </w:rPr>
        <w:t xml:space="preserve">них о состоянии аварийности в районе, в том числе с участием детей и необходимости привития несовершеннолетним навыков безопасного поведения на дороге, через сайты образовательных организаций, электронные дневники и родительские группы в социальных сетях.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Стиль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4">
    <w:name w:val="No Spacing"/>
    <w:uiPriority w:val="1"/>
    <w:qFormat/>
    <w:pPr>
      <w:spacing w:after="0" w:line="240" w:lineRule="auto"/>
    </w:pPr>
  </w:style>
  <w:style w:type="table" w:styleId="625">
    <w:name w:val="Table Grid"/>
    <w:basedOn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18012020_1</dc:creator>
  <cp:keywords/>
  <dc:description/>
  <cp:lastModifiedBy>e.g.valieva@syktyvdin.rkomi.ru</cp:lastModifiedBy>
  <cp:revision>8</cp:revision>
  <dcterms:created xsi:type="dcterms:W3CDTF">2025-05-21T14:11:00Z</dcterms:created>
  <dcterms:modified xsi:type="dcterms:W3CDTF">2025-05-22T06:41:13Z</dcterms:modified>
</cp:coreProperties>
</file>