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394B">
      <w:pPr>
        <w:widowControl w:val="0"/>
        <w:jc w:val="right"/>
        <w:outlineLvl w:val="1"/>
        <w:rPr>
          <w:sz w:val="24"/>
          <w:szCs w:val="24"/>
        </w:rPr>
      </w:pPr>
      <w:r>
        <w:rPr>
          <w:sz w:val="24"/>
          <w:szCs w:val="24"/>
        </w:rPr>
        <w:t>Приложение № 1</w:t>
      </w:r>
    </w:p>
    <w:p w14:paraId="2F7D91F7">
      <w:pPr>
        <w:widowControl w:val="0"/>
        <w:jc w:val="right"/>
        <w:rPr>
          <w:sz w:val="24"/>
          <w:szCs w:val="24"/>
        </w:rPr>
      </w:pPr>
      <w:r>
        <w:rPr>
          <w:sz w:val="24"/>
          <w:szCs w:val="24"/>
        </w:rPr>
        <w:t>к Положению о муниципальном земельном</w:t>
      </w:r>
      <w:r>
        <w:rPr>
          <w:sz w:val="24"/>
          <w:szCs w:val="24"/>
        </w:rPr>
        <w:br w:type="textWrapping"/>
      </w:r>
      <w:r>
        <w:rPr>
          <w:sz w:val="24"/>
          <w:szCs w:val="24"/>
        </w:rPr>
        <w:t xml:space="preserve">контроле на территории муниципального </w:t>
      </w:r>
    </w:p>
    <w:p w14:paraId="029453FC">
      <w:pPr>
        <w:widowControl w:val="0"/>
        <w:jc w:val="right"/>
        <w:rPr>
          <w:sz w:val="24"/>
          <w:szCs w:val="24"/>
        </w:rPr>
      </w:pPr>
      <w:r>
        <w:rPr>
          <w:sz w:val="24"/>
          <w:szCs w:val="24"/>
        </w:rPr>
        <w:t>района «Сыктывдинский» Республики Коми</w:t>
      </w:r>
    </w:p>
    <w:p w14:paraId="7D904388">
      <w:pPr>
        <w:widowControl w:val="0"/>
        <w:jc w:val="right"/>
        <w:rPr>
          <w:sz w:val="24"/>
          <w:szCs w:val="24"/>
        </w:rPr>
      </w:pPr>
    </w:p>
    <w:p w14:paraId="2DBA55AC">
      <w:pPr>
        <w:jc w:val="center"/>
        <w:rPr>
          <w:b/>
          <w:bCs/>
          <w:sz w:val="24"/>
          <w:szCs w:val="24"/>
          <w:lang w:eastAsia="en-US"/>
        </w:rPr>
      </w:pPr>
      <w:r>
        <w:rPr>
          <w:b/>
          <w:bCs/>
          <w:sz w:val="24"/>
          <w:szCs w:val="24"/>
          <w:lang w:eastAsia="en-US"/>
        </w:rPr>
        <w:t>Индикаторы риска</w:t>
      </w:r>
    </w:p>
    <w:p w14:paraId="6B0DD3D1">
      <w:pPr>
        <w:jc w:val="center"/>
        <w:rPr>
          <w:b/>
          <w:bCs/>
          <w:sz w:val="24"/>
          <w:szCs w:val="24"/>
          <w:lang w:eastAsia="en-US"/>
        </w:rPr>
      </w:pPr>
      <w:r>
        <w:rPr>
          <w:b/>
          <w:bCs/>
          <w:sz w:val="24"/>
          <w:szCs w:val="24"/>
          <w:lang w:eastAsia="en-US"/>
        </w:rPr>
        <w:t xml:space="preserve">нарушения требований земельного законодательства, используемые для необходимости проведения внеплановых контрольных (надзорных) мероприятий при осуществлении </w:t>
      </w:r>
      <w:r>
        <w:rPr>
          <w:b/>
          <w:sz w:val="24"/>
          <w:szCs w:val="24"/>
        </w:rPr>
        <w:t>муниципального земельного контроля</w:t>
      </w:r>
    </w:p>
    <w:p w14:paraId="2D911E52">
      <w:pPr>
        <w:jc w:val="both"/>
        <w:outlineLvl w:val="0"/>
        <w:rPr>
          <w:sz w:val="24"/>
          <w:szCs w:val="24"/>
          <w:lang w:eastAsia="en-US"/>
        </w:rPr>
      </w:pPr>
    </w:p>
    <w:p w14:paraId="2C724C94">
      <w:pPr>
        <w:autoSpaceDE w:val="0"/>
        <w:autoSpaceDN w:val="0"/>
        <w:adjustRightInd w:val="0"/>
        <w:ind w:firstLine="708"/>
        <w:jc w:val="both"/>
        <w:rPr>
          <w:sz w:val="24"/>
          <w:szCs w:val="24"/>
        </w:rPr>
      </w:pPr>
      <w:r>
        <w:rPr>
          <w:sz w:val="24"/>
          <w:szCs w:val="24"/>
        </w:rPr>
        <w:t>1. Получение органом контроля сведений о превышении площади земельного участка.</w:t>
      </w:r>
    </w:p>
    <w:p w14:paraId="381DE189">
      <w:pPr>
        <w:autoSpaceDE w:val="0"/>
        <w:autoSpaceDN w:val="0"/>
        <w:adjustRightInd w:val="0"/>
        <w:ind w:firstLine="708"/>
        <w:jc w:val="both"/>
        <w:rPr>
          <w:sz w:val="24"/>
          <w:szCs w:val="24"/>
        </w:rPr>
      </w:pPr>
      <w:r>
        <w:rPr>
          <w:sz w:val="24"/>
          <w:szCs w:val="24"/>
        </w:rPr>
        <w:t>2. Размещение объекта недвижимости на земельном участке, не предоставленном в установленном порядке.</w:t>
      </w:r>
    </w:p>
    <w:p w14:paraId="2816EB89">
      <w:pPr>
        <w:autoSpaceDE w:val="0"/>
        <w:autoSpaceDN w:val="0"/>
        <w:adjustRightInd w:val="0"/>
        <w:ind w:firstLine="709"/>
        <w:jc w:val="both"/>
        <w:rPr>
          <w:sz w:val="24"/>
          <w:szCs w:val="24"/>
        </w:rPr>
      </w:pPr>
      <w:r>
        <w:rPr>
          <w:sz w:val="24"/>
          <w:szCs w:val="24"/>
        </w:rPr>
        <w:t>3. Использование земельных участков, находящихся в собственности администрации муниципального района «Сыктывдинский» Республики Коми, а также земель, государственная собственность на которые не разграничена, до принятия администрацией муниципального района «Сыктывдинский» Республики Коми решения о предоставлении на каком-либо праве.</w:t>
      </w:r>
    </w:p>
    <w:p w14:paraId="7D49C0B5">
      <w:pPr>
        <w:autoSpaceDE w:val="0"/>
        <w:autoSpaceDN w:val="0"/>
        <w:adjustRightInd w:val="0"/>
        <w:ind w:firstLine="709"/>
        <w:jc w:val="both"/>
        <w:rPr>
          <w:sz w:val="24"/>
          <w:szCs w:val="24"/>
        </w:rPr>
      </w:pPr>
      <w:r>
        <w:rPr>
          <w:sz w:val="24"/>
          <w:szCs w:val="24"/>
        </w:rPr>
        <w:t>4. Наличие на земельном участке специализированной техники, используемой для снятия или перемещения плодородного слоя почвы.</w:t>
      </w:r>
    </w:p>
    <w:p w14:paraId="5D2565CC">
      <w:pPr>
        <w:autoSpaceDE w:val="0"/>
        <w:autoSpaceDN w:val="0"/>
        <w:adjustRightInd w:val="0"/>
        <w:ind w:firstLine="709"/>
        <w:jc w:val="both"/>
        <w:rPr>
          <w:sz w:val="24"/>
          <w:szCs w:val="24"/>
        </w:rPr>
      </w:pPr>
      <w:r>
        <w:rPr>
          <w:sz w:val="24"/>
          <w:szCs w:val="24"/>
        </w:rPr>
        <w:t>5. Размещение на плодородном слое почвы пестицидов и агрохимикатов, опасных для здоровья людей и окружающей среды веществ и отходов производства и потребления.</w:t>
      </w:r>
    </w:p>
    <w:p w14:paraId="0EF710B3">
      <w:pPr>
        <w:widowControl w:val="0"/>
        <w:autoSpaceDE w:val="0"/>
        <w:autoSpaceDN w:val="0"/>
        <w:ind w:firstLine="709"/>
        <w:jc w:val="both"/>
        <w:rPr>
          <w:sz w:val="24"/>
          <w:szCs w:val="24"/>
        </w:rPr>
      </w:pPr>
      <w:r>
        <w:rPr>
          <w:sz w:val="24"/>
          <w:szCs w:val="24"/>
        </w:rPr>
        <w:t>6. Отсутствие проекта рекультивации земель в случае, если деятельность контролируемых лиц привела к ухудшению качества земель в результате их загрязнения, нарушения почвенного покрова.</w:t>
      </w:r>
    </w:p>
    <w:p w14:paraId="27DA428D">
      <w:pPr>
        <w:autoSpaceDE w:val="0"/>
        <w:autoSpaceDN w:val="0"/>
        <w:adjustRightInd w:val="0"/>
        <w:ind w:firstLine="708"/>
        <w:jc w:val="both"/>
        <w:rPr>
          <w:sz w:val="24"/>
          <w:szCs w:val="24"/>
        </w:rPr>
      </w:pPr>
      <w:r>
        <w:rPr>
          <w:sz w:val="24"/>
          <w:szCs w:val="24"/>
        </w:rPr>
        <w:t>7. Отсутствие работ по рекультивации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w:t>
      </w:r>
    </w:p>
    <w:p w14:paraId="1B65E8D1">
      <w:pPr>
        <w:widowControl w:val="0"/>
        <w:autoSpaceDE w:val="0"/>
        <w:autoSpaceDN w:val="0"/>
        <w:ind w:firstLine="709"/>
        <w:jc w:val="both"/>
        <w:rPr>
          <w:sz w:val="24"/>
          <w:szCs w:val="24"/>
        </w:rPr>
      </w:pPr>
      <w:r>
        <w:rPr>
          <w:sz w:val="24"/>
          <w:szCs w:val="24"/>
        </w:rPr>
        <w:t>8. Истечение срока выполнения работ по рекультивации земель, указанного в проекте рекультивации земель.</w:t>
      </w:r>
    </w:p>
    <w:p w14:paraId="5A5A78ED">
      <w:pPr>
        <w:widowControl w:val="0"/>
        <w:autoSpaceDE w:val="0"/>
        <w:autoSpaceDN w:val="0"/>
        <w:ind w:firstLine="709"/>
        <w:jc w:val="both"/>
        <w:rPr>
          <w:sz w:val="24"/>
          <w:szCs w:val="24"/>
        </w:rPr>
      </w:pPr>
      <w:r>
        <w:rPr>
          <w:sz w:val="24"/>
          <w:szCs w:val="24"/>
        </w:rPr>
        <w:t>9. Получение органом контроля сведений, содержащих признаки негативных процессов на земельном участке, влияющих на состояние земель и уровень плодородия почвы (ветровая и водная эрозия, сели, подтопление, заболачивание, иссушение).</w:t>
      </w:r>
    </w:p>
    <w:p w14:paraId="7D8F43D1">
      <w:pPr>
        <w:widowControl w:val="0"/>
        <w:autoSpaceDE w:val="0"/>
        <w:autoSpaceDN w:val="0"/>
        <w:ind w:firstLine="709"/>
        <w:jc w:val="both"/>
        <w:rPr>
          <w:sz w:val="24"/>
          <w:szCs w:val="24"/>
        </w:rPr>
      </w:pPr>
      <w:r>
        <w:rPr>
          <w:sz w:val="24"/>
          <w:szCs w:val="24"/>
        </w:rPr>
        <w:t>10. Зарастание земель сельскохозяйственного назначения сорной растительностью, деревьями и кустарниками, не относящимися к многолетним плодово-ягодным насаждениям.</w:t>
      </w:r>
    </w:p>
    <w:p w14:paraId="0E1C94F5">
      <w:pPr>
        <w:shd w:val="clear" w:color="auto" w:fill="FFFFFF"/>
        <w:ind w:firstLine="708"/>
        <w:jc w:val="both"/>
        <w:rPr>
          <w:color w:val="000000"/>
          <w:sz w:val="24"/>
          <w:szCs w:val="24"/>
        </w:rPr>
      </w:pPr>
      <w:r>
        <w:rPr>
          <w:color w:val="000000"/>
          <w:sz w:val="24"/>
          <w:szCs w:val="24"/>
        </w:rPr>
        <w:t>11.</w:t>
      </w:r>
      <w:r>
        <w:rPr>
          <w:sz w:val="24"/>
          <w:szCs w:val="24"/>
        </w:rPr>
        <w:t> Р</w:t>
      </w:r>
      <w:r>
        <w:rPr>
          <w:color w:val="000000"/>
          <w:sz w:val="24"/>
          <w:szCs w:val="24"/>
        </w:rPr>
        <w:t>азмещение на земельном участке объектов, целевое назначение которых не соответствует виду разрешенного использования земельного участка.</w:t>
      </w:r>
    </w:p>
    <w:p w14:paraId="77E78E27">
      <w:pPr>
        <w:shd w:val="clear" w:color="auto" w:fill="FFFFFF"/>
        <w:ind w:firstLine="708"/>
        <w:jc w:val="both"/>
        <w:rPr>
          <w:color w:val="000000"/>
          <w:sz w:val="24"/>
          <w:szCs w:val="24"/>
        </w:rPr>
      </w:pPr>
      <w:r>
        <w:rPr>
          <w:color w:val="000000"/>
          <w:sz w:val="24"/>
          <w:szCs w:val="24"/>
        </w:rPr>
        <w:t xml:space="preserve">12. Осуществление </w:t>
      </w:r>
      <w:r>
        <w:rPr>
          <w:sz w:val="24"/>
          <w:szCs w:val="24"/>
          <w:lang w:eastAsia="en-US"/>
        </w:rPr>
        <w:t xml:space="preserve">контролируемым лицом </w:t>
      </w:r>
      <w:r>
        <w:rPr>
          <w:color w:val="000000"/>
          <w:sz w:val="24"/>
          <w:szCs w:val="24"/>
        </w:rPr>
        <w:t>деятельности не соответствующей виду разрешенного использования земельного участка.</w:t>
      </w:r>
    </w:p>
    <w:p w14:paraId="3DF7D6A4">
      <w:pPr>
        <w:shd w:val="clear" w:color="auto" w:fill="FFFFFF"/>
        <w:ind w:firstLine="708"/>
        <w:jc w:val="both"/>
        <w:rPr>
          <w:color w:val="000000"/>
          <w:sz w:val="24"/>
          <w:szCs w:val="24"/>
        </w:rPr>
      </w:pPr>
      <w:r>
        <w:rPr>
          <w:color w:val="000000"/>
          <w:sz w:val="24"/>
          <w:szCs w:val="24"/>
        </w:rPr>
        <w:t>13. Наличие признаков неиспользования земельных участков из земель сельскохозяйственного назначения по целевому назначению в течение года с момента возникновения права собственности, приобретенного по результатам публичных торгов на основании решения суда об изъятии земельного участка в связи с неиспользованием по целевому назначению или с нарушением законодательства Российской Федерации.</w:t>
      </w:r>
    </w:p>
    <w:p w14:paraId="15714FDB">
      <w:pPr>
        <w:shd w:val="clear" w:color="auto" w:fill="FFFFFF"/>
        <w:ind w:firstLine="708"/>
        <w:jc w:val="both"/>
        <w:rPr>
          <w:color w:val="000000"/>
          <w:sz w:val="24"/>
          <w:szCs w:val="24"/>
        </w:rPr>
      </w:pPr>
      <w:r>
        <w:rPr>
          <w:color w:val="000000"/>
          <w:sz w:val="24"/>
          <w:szCs w:val="24"/>
        </w:rPr>
        <w:t>14. Наличие дерна на земельном участке из земель сельскохозяйственного назначения, характеризующегося переплетением корней, побегов, корневищ многолетних сорных растений, глубина которого достигает более 15 см (за исключением наличия дерна на земельных участках, предназначенных и используемых для выпаса сельскохозяйственных животных).</w:t>
      </w:r>
    </w:p>
    <w:p w14:paraId="71EA0B0C">
      <w:pPr>
        <w:shd w:val="clear" w:color="auto" w:fill="FFFFFF"/>
        <w:ind w:firstLine="708"/>
        <w:jc w:val="both"/>
        <w:rPr>
          <w:color w:val="000000"/>
          <w:sz w:val="24"/>
          <w:szCs w:val="24"/>
        </w:rPr>
      </w:pPr>
      <w:r>
        <w:rPr>
          <w:color w:val="000000"/>
          <w:sz w:val="24"/>
          <w:szCs w:val="24"/>
        </w:rPr>
        <w:t>15. Отсутствие работ по строительству объектов жилищного или иного строительства в течение трех лет.</w:t>
      </w:r>
    </w:p>
    <w:p w14:paraId="1FCF154F">
      <w:pPr>
        <w:shd w:val="clear" w:color="auto" w:fill="FFFFFF"/>
        <w:ind w:firstLine="708"/>
        <w:jc w:val="both"/>
        <w:rPr>
          <w:color w:val="000000"/>
          <w:sz w:val="24"/>
          <w:szCs w:val="24"/>
        </w:rPr>
      </w:pPr>
      <w:r>
        <w:rPr>
          <w:color w:val="000000"/>
          <w:sz w:val="24"/>
          <w:szCs w:val="24"/>
        </w:rPr>
        <w:t>16. Наличие признаков неиспользования земельных участков из земель сельскохозяйственного назначения по целевому назначению в течение трех лет.</w:t>
      </w:r>
    </w:p>
    <w:p w14:paraId="770A6086">
      <w:pPr>
        <w:widowControl w:val="0"/>
        <w:ind w:firstLine="708"/>
        <w:jc w:val="both"/>
        <w:outlineLvl w:val="1"/>
        <w:rPr>
          <w:color w:val="000000"/>
          <w:sz w:val="24"/>
          <w:szCs w:val="24"/>
        </w:rPr>
      </w:pPr>
      <w:r>
        <w:rPr>
          <w:color w:val="000000"/>
          <w:sz w:val="24"/>
          <w:szCs w:val="24"/>
        </w:rPr>
        <w:t>17. Отсутствие работ по приведению земельного участка в состояние, пригодное для использования по целевому назначению.</w:t>
      </w:r>
    </w:p>
    <w:p w14:paraId="5E6CEE09">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7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Footer"/>
    <w:basedOn w:val="1"/>
    <w:qFormat/>
    <w:uiPriority w:val="99"/>
    <w:pPr>
      <w:tabs>
        <w:tab w:val="center" w:pos="4677"/>
        <w:tab w:val="right" w:pos="9355"/>
      </w:tab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2024-06-19T13:47:20Z</dcterms:created>
  <dc:creator>Puser01_5</dc:creator>
  <cp:lastModifiedBy>Puser01_5</cp:lastModifiedBy>
  <dcterms:modified xsi:type="dcterms:W3CDTF">2024-06-19T13:47:37Z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CDE41A47C84D460E9612288E01DE904A_12</vt:lpwstr>
  </property>
</Properties>
</file>