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5D0" w:rsidRDefault="002905D0">
      <w:pPr>
        <w:tabs>
          <w:tab w:val="center" w:pos="4677"/>
          <w:tab w:val="left" w:pos="5400"/>
        </w:tabs>
        <w:spacing w:after="0" w:line="240" w:lineRule="auto"/>
        <w:jc w:val="right"/>
        <w:rPr>
          <w:rFonts w:ascii="Times New Roman" w:hAnsi="Times New Roman"/>
          <w:sz w:val="2"/>
          <w:u w:val="single"/>
        </w:rPr>
      </w:pPr>
      <w:bookmarkStart w:id="0" w:name="_Hlk518293165"/>
      <w:bookmarkEnd w:id="0"/>
    </w:p>
    <w:p w:rsidR="002905D0" w:rsidRDefault="00493D19">
      <w:pPr>
        <w:tabs>
          <w:tab w:val="center" w:pos="4677"/>
          <w:tab w:val="left" w:pos="5400"/>
        </w:tabs>
        <w:spacing w:after="0" w:line="240" w:lineRule="auto"/>
        <w:jc w:val="right"/>
      </w:pPr>
      <w:r>
        <w:rPr>
          <w:noProof/>
        </w:rPr>
        <w:drawing>
          <wp:anchor distT="0" distB="0" distL="114935" distR="123190" simplePos="0" relativeHeight="251659264" behindDoc="0" locked="0" layoutInCell="1" allowOverlap="1">
            <wp:simplePos x="0" y="0"/>
            <wp:positionH relativeFrom="column">
              <wp:posOffset>2658745</wp:posOffset>
            </wp:positionH>
            <wp:positionV relativeFrom="page">
              <wp:posOffset>409575</wp:posOffset>
            </wp:positionV>
            <wp:extent cx="791845" cy="91440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 xml:space="preserve">Коми </w:t>
      </w:r>
      <w:proofErr w:type="spellStart"/>
      <w:r>
        <w:rPr>
          <w:rFonts w:ascii="Times New Roman" w:hAnsi="Times New Roman"/>
          <w:b/>
          <w:sz w:val="32"/>
          <w:szCs w:val="32"/>
        </w:rPr>
        <w:t>Республикаын</w:t>
      </w:r>
      <w:proofErr w:type="spellEnd"/>
      <w:r>
        <w:rPr>
          <w:rFonts w:ascii="Times New Roman" w:hAnsi="Times New Roman"/>
          <w:b/>
          <w:sz w:val="32"/>
          <w:szCs w:val="32"/>
        </w:rPr>
        <w:t xml:space="preserve"> «</w:t>
      </w:r>
      <w:proofErr w:type="spellStart"/>
      <w:r>
        <w:rPr>
          <w:rFonts w:ascii="Times New Roman" w:hAnsi="Times New Roman"/>
          <w:b/>
          <w:sz w:val="32"/>
          <w:szCs w:val="32"/>
        </w:rPr>
        <w:t>Сыктывд</w:t>
      </w:r>
      <w:proofErr w:type="spellEnd"/>
      <w:proofErr w:type="gramStart"/>
      <w:r>
        <w:rPr>
          <w:rFonts w:ascii="Times New Roman" w:hAnsi="Times New Roman"/>
          <w:b/>
          <w:sz w:val="32"/>
          <w:szCs w:val="32"/>
          <w:lang w:val="en-US"/>
        </w:rPr>
        <w:t>i</w:t>
      </w:r>
      <w:proofErr w:type="gramEnd"/>
      <w:r>
        <w:rPr>
          <w:rFonts w:ascii="Times New Roman" w:hAnsi="Times New Roman"/>
          <w:b/>
          <w:sz w:val="32"/>
          <w:szCs w:val="32"/>
        </w:rPr>
        <w:t xml:space="preserve">н» </w:t>
      </w:r>
      <w:proofErr w:type="spellStart"/>
      <w:r>
        <w:rPr>
          <w:rFonts w:ascii="Times New Roman" w:hAnsi="Times New Roman"/>
          <w:b/>
          <w:sz w:val="32"/>
          <w:szCs w:val="32"/>
        </w:rPr>
        <w:t>муниципальнöй</w:t>
      </w:r>
      <w:proofErr w:type="spellEnd"/>
      <w:r>
        <w:rPr>
          <w:rFonts w:ascii="Times New Roman" w:hAnsi="Times New Roman"/>
          <w:b/>
          <w:sz w:val="32"/>
          <w:szCs w:val="32"/>
        </w:rPr>
        <w:t xml:space="preserve"> </w:t>
      </w:r>
      <w:proofErr w:type="spellStart"/>
      <w:r>
        <w:rPr>
          <w:rFonts w:ascii="Times New Roman" w:hAnsi="Times New Roman"/>
          <w:b/>
          <w:sz w:val="32"/>
          <w:szCs w:val="32"/>
        </w:rPr>
        <w:t>районса</w:t>
      </w:r>
      <w:proofErr w:type="spellEnd"/>
      <w:r>
        <w:rPr>
          <w:rFonts w:ascii="Times New Roman" w:hAnsi="Times New Roman"/>
          <w:b/>
          <w:sz w:val="32"/>
          <w:szCs w:val="32"/>
        </w:rPr>
        <w:t xml:space="preserve"> </w:t>
      </w:r>
    </w:p>
    <w:p w:rsidR="002905D0" w:rsidRDefault="00493D19">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2905D0" w:rsidRDefault="00493D19">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2905D0" w:rsidRDefault="00493D19">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2905D0" w:rsidRDefault="00493D19">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2905D0" w:rsidRDefault="00493D19">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2905D0" w:rsidRDefault="00493D19">
      <w:pPr>
        <w:spacing w:after="0" w:line="240" w:lineRule="auto"/>
        <w:jc w:val="both"/>
        <w:rPr>
          <w:rFonts w:ascii="Times New Roman" w:hAnsi="Times New Roman" w:cs="Times New Roman"/>
          <w:b/>
          <w:sz w:val="32"/>
        </w:rPr>
      </w:pPr>
      <w:bookmarkStart w:id="1" w:name="_Hlk5182931651"/>
      <w:bookmarkEnd w:id="1"/>
      <w:r>
        <w:rPr>
          <w:rFonts w:ascii="Times New Roman" w:hAnsi="Times New Roman" w:cs="Times New Roman"/>
          <w:b/>
          <w:sz w:val="32"/>
        </w:rPr>
        <w:t xml:space="preserve">                                                  РЕШЕНИЕ                                       </w:t>
      </w:r>
    </w:p>
    <w:p w:rsidR="002905D0" w:rsidRDefault="002905D0">
      <w:pPr>
        <w:spacing w:after="0" w:line="240" w:lineRule="auto"/>
        <w:ind w:right="4534"/>
        <w:jc w:val="both"/>
        <w:rPr>
          <w:rFonts w:ascii="Times New Roman" w:hAnsi="Times New Roman" w:cs="Times New Roman"/>
          <w:sz w:val="24"/>
          <w:szCs w:val="24"/>
        </w:rPr>
      </w:pPr>
    </w:p>
    <w:p w:rsidR="002905D0" w:rsidRDefault="00493D19" w:rsidP="00BB56F4">
      <w:pPr>
        <w:spacing w:after="0" w:line="240" w:lineRule="auto"/>
        <w:ind w:right="5152"/>
        <w:jc w:val="both"/>
      </w:pPr>
      <w:bookmarkStart w:id="2" w:name="_Hlk4579837"/>
      <w:bookmarkEnd w:id="2"/>
      <w:r>
        <w:rPr>
          <w:rFonts w:ascii="Times New Roman" w:hAnsi="Times New Roman" w:cs="Times New Roman"/>
          <w:sz w:val="24"/>
          <w:szCs w:val="24"/>
        </w:rPr>
        <w:t xml:space="preserve">О внесении изменений в </w:t>
      </w:r>
      <w:r w:rsidR="004B2252">
        <w:rPr>
          <w:rFonts w:ascii="Times New Roman" w:hAnsi="Times New Roman" w:cs="Times New Roman"/>
          <w:sz w:val="24"/>
          <w:szCs w:val="24"/>
        </w:rPr>
        <w:t>П</w:t>
      </w:r>
      <w:r>
        <w:rPr>
          <w:rFonts w:ascii="Times New Roman" w:hAnsi="Times New Roman" w:cs="Times New Roman"/>
          <w:sz w:val="24"/>
          <w:szCs w:val="24"/>
        </w:rPr>
        <w:t>равила землепользования и застройки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xml:space="preserve">» </w:t>
      </w:r>
    </w:p>
    <w:p w:rsidR="002905D0" w:rsidRDefault="002905D0" w:rsidP="00BB56F4">
      <w:pPr>
        <w:spacing w:after="0" w:line="240" w:lineRule="auto"/>
        <w:ind w:right="5152"/>
        <w:jc w:val="both"/>
        <w:rPr>
          <w:rFonts w:ascii="Times New Roman" w:hAnsi="Times New Roman" w:cs="Times New Roman"/>
          <w:sz w:val="24"/>
          <w:szCs w:val="24"/>
        </w:rPr>
      </w:pPr>
      <w:bookmarkStart w:id="3" w:name="_Hlk518293253"/>
      <w:bookmarkEnd w:id="3"/>
    </w:p>
    <w:p w:rsidR="002905D0" w:rsidRDefault="00493D19">
      <w:pPr>
        <w:spacing w:after="0" w:line="240" w:lineRule="auto"/>
        <w:jc w:val="both"/>
      </w:pPr>
      <w:r>
        <w:rPr>
          <w:rFonts w:ascii="Times New Roman" w:hAnsi="Times New Roman"/>
          <w:sz w:val="24"/>
        </w:rPr>
        <w:t xml:space="preserve">Принято Советом муниципального района                                               </w:t>
      </w:r>
      <w:r w:rsidR="00BB56F4">
        <w:rPr>
          <w:rFonts w:ascii="Times New Roman" w:hAnsi="Times New Roman"/>
          <w:sz w:val="24"/>
        </w:rPr>
        <w:t xml:space="preserve">      </w:t>
      </w:r>
      <w:r>
        <w:rPr>
          <w:rFonts w:ascii="Times New Roman" w:hAnsi="Times New Roman"/>
          <w:sz w:val="24"/>
        </w:rPr>
        <w:t xml:space="preserve">  от </w:t>
      </w:r>
      <w:r w:rsidR="00BB56F4">
        <w:rPr>
          <w:rFonts w:ascii="Times New Roman" w:hAnsi="Times New Roman"/>
          <w:sz w:val="24"/>
        </w:rPr>
        <w:t>27 мая</w:t>
      </w:r>
      <w:r>
        <w:rPr>
          <w:rFonts w:ascii="Times New Roman" w:hAnsi="Times New Roman"/>
          <w:sz w:val="24"/>
        </w:rPr>
        <w:t xml:space="preserve"> 2025 года</w:t>
      </w:r>
    </w:p>
    <w:p w:rsidR="002905D0" w:rsidRDefault="00493D19">
      <w:pPr>
        <w:spacing w:after="0" w:line="240" w:lineRule="auto"/>
        <w:jc w:val="both"/>
        <w:rPr>
          <w:rFonts w:cs="Calibri"/>
        </w:rPr>
      </w:pPr>
      <w:r>
        <w:rPr>
          <w:rFonts w:ascii="Times New Roman" w:hAnsi="Times New Roman"/>
          <w:sz w:val="24"/>
        </w:rPr>
        <w:t xml:space="preserve">«Сыктывдинский» Республики Коми                                                           </w:t>
      </w:r>
      <w:r w:rsidR="00BB56F4">
        <w:rPr>
          <w:rFonts w:ascii="Times New Roman" w:hAnsi="Times New Roman"/>
          <w:sz w:val="24"/>
        </w:rPr>
        <w:t xml:space="preserve">     </w:t>
      </w:r>
      <w:r>
        <w:rPr>
          <w:rFonts w:ascii="Times New Roman" w:hAnsi="Times New Roman"/>
          <w:sz w:val="24"/>
        </w:rPr>
        <w:t xml:space="preserve">№ </w:t>
      </w:r>
      <w:r w:rsidR="00BB56F4">
        <w:rPr>
          <w:rFonts w:ascii="Times New Roman" w:hAnsi="Times New Roman"/>
          <w:sz w:val="24"/>
        </w:rPr>
        <w:t>52/5-16</w:t>
      </w:r>
      <w:r>
        <w:rPr>
          <w:rFonts w:ascii="Times New Roman" w:hAnsi="Times New Roman"/>
          <w:sz w:val="24"/>
        </w:rPr>
        <w:t xml:space="preserve">                           </w:t>
      </w:r>
    </w:p>
    <w:p w:rsidR="002905D0" w:rsidRDefault="002905D0">
      <w:pPr>
        <w:spacing w:after="0" w:line="240" w:lineRule="auto"/>
        <w:ind w:firstLine="709"/>
        <w:jc w:val="both"/>
        <w:rPr>
          <w:rFonts w:ascii="Times New Roman" w:hAnsi="Times New Roman" w:cs="Times New Roman"/>
          <w:sz w:val="24"/>
          <w:szCs w:val="24"/>
        </w:rPr>
      </w:pPr>
    </w:p>
    <w:p w:rsidR="002905D0" w:rsidRDefault="00493D1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30, 31 32, 33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2905D0" w:rsidRDefault="002905D0">
      <w:pPr>
        <w:spacing w:after="0" w:line="240" w:lineRule="auto"/>
        <w:ind w:left="851"/>
        <w:jc w:val="both"/>
        <w:rPr>
          <w:rFonts w:ascii="Times New Roman" w:hAnsi="Times New Roman" w:cs="Times New Roman"/>
          <w:sz w:val="24"/>
          <w:szCs w:val="24"/>
        </w:rPr>
      </w:pPr>
    </w:p>
    <w:p w:rsidR="002905D0" w:rsidRDefault="00493D19">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Совет муниципального района «Сыктывдинский» Республики Коми решил:</w:t>
      </w:r>
    </w:p>
    <w:p w:rsidR="002905D0" w:rsidRDefault="002905D0">
      <w:pPr>
        <w:spacing w:after="0" w:line="240" w:lineRule="auto"/>
        <w:ind w:left="851"/>
        <w:jc w:val="both"/>
        <w:rPr>
          <w:rStyle w:val="FontStyle42"/>
          <w:rFonts w:eastAsiaTheme="minorEastAsia"/>
          <w:sz w:val="24"/>
          <w:szCs w:val="24"/>
        </w:rPr>
      </w:pPr>
    </w:p>
    <w:p w:rsidR="002905D0" w:rsidRDefault="00493D19">
      <w:pPr>
        <w:numPr>
          <w:ilvl w:val="0"/>
          <w:numId w:val="1"/>
        </w:numPr>
        <w:spacing w:after="0" w:line="240" w:lineRule="auto"/>
        <w:ind w:firstLineChars="350" w:firstLine="840"/>
        <w:jc w:val="both"/>
        <w:rPr>
          <w:rStyle w:val="FontStyle42"/>
          <w:rFonts w:eastAsiaTheme="minorEastAsia"/>
          <w:sz w:val="24"/>
          <w:szCs w:val="24"/>
        </w:rPr>
      </w:pPr>
      <w:r>
        <w:rPr>
          <w:rStyle w:val="FontStyle42"/>
          <w:rFonts w:eastAsiaTheme="minorEastAsia"/>
          <w:sz w:val="24"/>
          <w:szCs w:val="24"/>
        </w:rPr>
        <w:t xml:space="preserve">Внести в </w:t>
      </w:r>
      <w:r>
        <w:rPr>
          <w:rFonts w:ascii="Times New Roman" w:hAnsi="Times New Roman" w:cs="Times New Roman"/>
          <w:sz w:val="24"/>
          <w:szCs w:val="24"/>
        </w:rPr>
        <w:t xml:space="preserve">решение Совета муниципального образования муниципального района «Сыктывдинский» от 24 июня 2016 года № 8/6-6 </w:t>
      </w:r>
      <w:r>
        <w:rPr>
          <w:rFonts w:ascii="Times New Roman" w:hAnsi="Times New Roman" w:cs="Times New Roman"/>
          <w:bCs/>
          <w:sz w:val="24"/>
          <w:szCs w:val="24"/>
        </w:rPr>
        <w:t>«</w:t>
      </w:r>
      <w:r>
        <w:rPr>
          <w:rFonts w:ascii="Times New Roman" w:hAnsi="Times New Roman" w:cs="Times New Roman"/>
          <w:sz w:val="24"/>
          <w:szCs w:val="24"/>
        </w:rPr>
        <w:t>Об утверждении Правил землепользования и застройки муниципального образования сельского поселения «</w:t>
      </w:r>
      <w:proofErr w:type="spellStart"/>
      <w:r>
        <w:rPr>
          <w:rFonts w:ascii="Times New Roman" w:hAnsi="Times New Roman" w:cs="Times New Roman"/>
          <w:sz w:val="24"/>
          <w:szCs w:val="24"/>
        </w:rPr>
        <w:t>Озёл</w:t>
      </w:r>
      <w:proofErr w:type="spellEnd"/>
      <w:r>
        <w:rPr>
          <w:rFonts w:ascii="Times New Roman" w:hAnsi="Times New Roman" w:cs="Times New Roman"/>
          <w:sz w:val="24"/>
          <w:szCs w:val="24"/>
        </w:rPr>
        <w:t>» Сыктывдинского района Республики Коми»</w:t>
      </w:r>
      <w:r>
        <w:rPr>
          <w:rFonts w:ascii="Times New Roman" w:hAnsi="Times New Roman"/>
          <w:bCs/>
          <w:sz w:val="24"/>
          <w:szCs w:val="24"/>
        </w:rPr>
        <w:t xml:space="preserve">, следующие изменения: </w:t>
      </w:r>
    </w:p>
    <w:p w:rsidR="002905D0" w:rsidRDefault="00493D19">
      <w:pPr>
        <w:pStyle w:val="14"/>
        <w:widowControl w:val="0"/>
        <w:numPr>
          <w:ilvl w:val="1"/>
          <w:numId w:val="1"/>
        </w:numPr>
        <w:ind w:firstLine="491"/>
        <w:jc w:val="both"/>
        <w:rPr>
          <w:rFonts w:ascii="Times New Roman" w:hAnsi="Times New Roman" w:cs="Times New Roman"/>
          <w:sz w:val="24"/>
          <w:szCs w:val="24"/>
        </w:rPr>
      </w:pPr>
      <w:r>
        <w:rPr>
          <w:rFonts w:ascii="Times New Roman" w:hAnsi="Times New Roman" w:cs="Times New Roman"/>
          <w:sz w:val="24"/>
          <w:szCs w:val="24"/>
        </w:rPr>
        <w:t>дополнить статьёй 41, согласно приложению 1;</w:t>
      </w:r>
    </w:p>
    <w:p w:rsidR="002905D0" w:rsidRDefault="00493D19">
      <w:pPr>
        <w:pStyle w:val="14"/>
        <w:widowControl w:val="0"/>
        <w:numPr>
          <w:ilvl w:val="1"/>
          <w:numId w:val="1"/>
        </w:numPr>
        <w:ind w:left="0" w:firstLine="851"/>
        <w:jc w:val="both"/>
        <w:rPr>
          <w:rStyle w:val="FontStyle42"/>
          <w:rFonts w:eastAsiaTheme="minorEastAsia"/>
          <w:sz w:val="24"/>
          <w:szCs w:val="24"/>
        </w:rPr>
      </w:pPr>
      <w:r>
        <w:rPr>
          <w:rFonts w:ascii="Times New Roman" w:hAnsi="Times New Roman"/>
          <w:spacing w:val="-3"/>
          <w:sz w:val="24"/>
          <w:szCs w:val="24"/>
          <w:shd w:val="clear" w:color="auto" w:fill="FFFFFF"/>
          <w:lang w:eastAsia="en-US"/>
        </w:rPr>
        <w:t>статью 34. «Зоны рекреационного назначения» дополнить основным видом разрешённого использования «Природно-познавательный туризм» и установить минимальную и максимальную площади земельного участка «По расчёту»</w:t>
      </w:r>
      <w:r>
        <w:rPr>
          <w:rFonts w:ascii="Times New Roman" w:eastAsia="Times New Roman" w:hAnsi="Times New Roman" w:cs="Times New Roman"/>
          <w:kern w:val="2"/>
          <w:sz w:val="24"/>
          <w:szCs w:val="24"/>
          <w:lang w:eastAsia="ar-SA"/>
        </w:rPr>
        <w:t>.</w:t>
      </w:r>
    </w:p>
    <w:p w:rsidR="002905D0" w:rsidRDefault="00493D19">
      <w:pPr>
        <w:numPr>
          <w:ilvl w:val="0"/>
          <w:numId w:val="1"/>
        </w:numPr>
        <w:spacing w:after="0" w:line="240" w:lineRule="auto"/>
        <w:ind w:firstLineChars="350" w:firstLine="840"/>
        <w:jc w:val="both"/>
        <w:rPr>
          <w:sz w:val="24"/>
          <w:szCs w:val="24"/>
        </w:rPr>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2905D0" w:rsidRPr="002864FA" w:rsidRDefault="00493D19" w:rsidP="002864FA">
      <w:pPr>
        <w:numPr>
          <w:ilvl w:val="0"/>
          <w:numId w:val="1"/>
        </w:numPr>
        <w:spacing w:after="0" w:line="240" w:lineRule="auto"/>
        <w:ind w:firstLineChars="350" w:firstLine="840"/>
        <w:jc w:val="both"/>
        <w:rPr>
          <w:sz w:val="24"/>
          <w:szCs w:val="24"/>
        </w:rPr>
      </w:pPr>
      <w:r>
        <w:rPr>
          <w:rFonts w:ascii="Times New Roman" w:hAnsi="Times New Roman"/>
          <w:bCs/>
          <w:sz w:val="24"/>
          <w:szCs w:val="24"/>
        </w:rPr>
        <w:t>Настоящее решение вступает в силу со дня его официального опубликования.</w:t>
      </w:r>
    </w:p>
    <w:p w:rsidR="002905D0" w:rsidRDefault="002905D0">
      <w:pPr>
        <w:widowControl w:val="0"/>
        <w:spacing w:after="0" w:line="240" w:lineRule="auto"/>
        <w:jc w:val="both"/>
        <w:rPr>
          <w:rFonts w:ascii="Times New Roman" w:eastAsia="Lucida Sans Unicode" w:hAnsi="Times New Roman" w:cs="Times New Roman"/>
          <w:sz w:val="24"/>
          <w:szCs w:val="24"/>
        </w:rPr>
      </w:pPr>
    </w:p>
    <w:p w:rsidR="002864FA" w:rsidRDefault="002864FA">
      <w:pPr>
        <w:widowControl w:val="0"/>
        <w:spacing w:after="0" w:line="240" w:lineRule="auto"/>
        <w:jc w:val="both"/>
        <w:rPr>
          <w:rFonts w:ascii="Times New Roman" w:eastAsia="Lucida Sans Unicode" w:hAnsi="Times New Roman" w:cs="Times New Roman"/>
          <w:sz w:val="24"/>
          <w:szCs w:val="24"/>
        </w:rPr>
      </w:pPr>
    </w:p>
    <w:p w:rsidR="002905D0" w:rsidRDefault="00493D19">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А.М. Шкодник</w:t>
      </w:r>
    </w:p>
    <w:p w:rsidR="002905D0" w:rsidRDefault="002905D0">
      <w:pPr>
        <w:widowControl w:val="0"/>
        <w:spacing w:after="0" w:line="240" w:lineRule="auto"/>
        <w:jc w:val="both"/>
        <w:rPr>
          <w:rFonts w:ascii="Times New Roman" w:eastAsia="Lucida Sans Unicode" w:hAnsi="Times New Roman" w:cs="Times New Roman"/>
          <w:sz w:val="24"/>
          <w:szCs w:val="24"/>
        </w:rPr>
      </w:pPr>
    </w:p>
    <w:p w:rsidR="00BB56F4" w:rsidRDefault="00BB56F4">
      <w:pPr>
        <w:widowControl w:val="0"/>
        <w:spacing w:after="0" w:line="240" w:lineRule="auto"/>
        <w:jc w:val="both"/>
        <w:rPr>
          <w:rFonts w:ascii="Times New Roman" w:eastAsia="Lucida Sans Unicode" w:hAnsi="Times New Roman" w:cs="Times New Roman"/>
          <w:sz w:val="24"/>
          <w:szCs w:val="24"/>
        </w:rPr>
      </w:pPr>
    </w:p>
    <w:p w:rsidR="002905D0" w:rsidRDefault="00493D19">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Временно </w:t>
      </w:r>
      <w:proofErr w:type="gramStart"/>
      <w:r>
        <w:rPr>
          <w:rFonts w:ascii="Times New Roman CYR" w:hAnsi="Times New Roman CYR"/>
          <w:sz w:val="24"/>
        </w:rPr>
        <w:t>исполняющий</w:t>
      </w:r>
      <w:proofErr w:type="gramEnd"/>
      <w:r>
        <w:rPr>
          <w:rFonts w:ascii="Times New Roman CYR" w:hAnsi="Times New Roman CYR"/>
          <w:sz w:val="24"/>
        </w:rPr>
        <w:t xml:space="preserve"> обязанности главы</w:t>
      </w:r>
    </w:p>
    <w:p w:rsidR="002905D0" w:rsidRDefault="00493D19">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rsidR="002905D0" w:rsidRDefault="00493D19">
      <w:pPr>
        <w:widowControl w:val="0"/>
        <w:tabs>
          <w:tab w:val="left" w:pos="1134"/>
        </w:tabs>
        <w:spacing w:after="0" w:line="240" w:lineRule="auto"/>
        <w:jc w:val="both"/>
        <w:rPr>
          <w:sz w:val="16"/>
        </w:rPr>
      </w:pPr>
      <w:r>
        <w:rPr>
          <w:rFonts w:ascii="Times New Roman CYR" w:hAnsi="Times New Roman CYR"/>
          <w:sz w:val="24"/>
        </w:rPr>
        <w:t>руководителя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 xml:space="preserve">           А.В. Коншин</w:t>
      </w:r>
    </w:p>
    <w:p w:rsidR="002905D0" w:rsidRDefault="002905D0">
      <w:pPr>
        <w:widowControl w:val="0"/>
        <w:tabs>
          <w:tab w:val="left" w:pos="1134"/>
        </w:tabs>
        <w:spacing w:after="0" w:line="240" w:lineRule="auto"/>
        <w:rPr>
          <w:rStyle w:val="11"/>
          <w:rFonts w:ascii="Times New Roman" w:eastAsia="Times New Roman" w:hAnsi="Times New Roman" w:cs="Times New Roman"/>
          <w:sz w:val="24"/>
          <w:szCs w:val="24"/>
        </w:rPr>
      </w:pPr>
    </w:p>
    <w:p w:rsidR="002864FA" w:rsidRDefault="002864FA">
      <w:pPr>
        <w:widowControl w:val="0"/>
        <w:tabs>
          <w:tab w:val="left" w:pos="1134"/>
        </w:tabs>
        <w:spacing w:after="0" w:line="240" w:lineRule="auto"/>
        <w:rPr>
          <w:rStyle w:val="11"/>
          <w:rFonts w:ascii="Times New Roman" w:eastAsia="Times New Roman" w:hAnsi="Times New Roman" w:cs="Times New Roman"/>
          <w:sz w:val="24"/>
          <w:szCs w:val="24"/>
        </w:rPr>
      </w:pPr>
    </w:p>
    <w:p w:rsidR="002905D0" w:rsidRDefault="00BB56F4">
      <w:pPr>
        <w:widowControl w:val="0"/>
        <w:tabs>
          <w:tab w:val="left" w:pos="1134"/>
        </w:tabs>
        <w:spacing w:after="0" w:line="240" w:lineRule="auto"/>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27 мая</w:t>
      </w:r>
      <w:r w:rsidR="00493D19">
        <w:rPr>
          <w:rStyle w:val="11"/>
          <w:rFonts w:ascii="Times New Roman" w:eastAsia="Times New Roman" w:hAnsi="Times New Roman" w:cs="Times New Roman"/>
          <w:sz w:val="24"/>
          <w:szCs w:val="24"/>
        </w:rPr>
        <w:t xml:space="preserve"> 2025 год</w:t>
      </w:r>
      <w:r>
        <w:rPr>
          <w:rStyle w:val="11"/>
          <w:rFonts w:ascii="Times New Roman" w:eastAsia="Times New Roman" w:hAnsi="Times New Roman" w:cs="Times New Roman"/>
          <w:sz w:val="24"/>
          <w:szCs w:val="24"/>
        </w:rPr>
        <w:t>а</w:t>
      </w:r>
    </w:p>
    <w:p w:rsidR="004B2252" w:rsidRDefault="004B2252" w:rsidP="004B2252">
      <w:pPr>
        <w:widowControl w:val="0"/>
        <w:tabs>
          <w:tab w:val="left" w:pos="1134"/>
        </w:tabs>
        <w:spacing w:after="0" w:line="240" w:lineRule="auto"/>
        <w:jc w:val="right"/>
      </w:pPr>
      <w:r>
        <w:rPr>
          <w:rStyle w:val="11"/>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к решению</w:t>
      </w:r>
    </w:p>
    <w:p w:rsidR="004B2252" w:rsidRDefault="004B2252" w:rsidP="004B225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Совета МР</w:t>
      </w:r>
      <w:r>
        <w:rPr>
          <w:rFonts w:ascii="Times New Roman" w:eastAsia="Times New Roman" w:hAnsi="Times New Roman"/>
          <w:sz w:val="24"/>
          <w:szCs w:val="24"/>
        </w:rPr>
        <w:t xml:space="preserve"> «Сыктывдинский»</w:t>
      </w:r>
    </w:p>
    <w:p w:rsidR="004B2252" w:rsidRDefault="004B2252" w:rsidP="004B2252">
      <w:pPr>
        <w:spacing w:after="0" w:line="240" w:lineRule="auto"/>
        <w:jc w:val="right"/>
      </w:pPr>
      <w:r>
        <w:rPr>
          <w:rStyle w:val="11"/>
          <w:rFonts w:ascii="Times New Roman" w:eastAsia="Times New Roman" w:hAnsi="Times New Roman" w:cs="Times New Roman"/>
          <w:sz w:val="24"/>
          <w:szCs w:val="24"/>
        </w:rPr>
        <w:t xml:space="preserve">от </w:t>
      </w:r>
      <w:r w:rsidR="00BB56F4">
        <w:rPr>
          <w:rStyle w:val="11"/>
          <w:rFonts w:ascii="Times New Roman" w:eastAsia="Times New Roman" w:hAnsi="Times New Roman" w:cs="Times New Roman"/>
          <w:sz w:val="24"/>
          <w:szCs w:val="24"/>
        </w:rPr>
        <w:t>27.05.</w:t>
      </w:r>
      <w:r>
        <w:rPr>
          <w:rStyle w:val="11"/>
          <w:rFonts w:ascii="Times New Roman" w:eastAsia="Times New Roman" w:hAnsi="Times New Roman" w:cs="Times New Roman"/>
          <w:sz w:val="24"/>
          <w:szCs w:val="24"/>
        </w:rPr>
        <w:t xml:space="preserve">2025 № </w:t>
      </w:r>
      <w:r w:rsidR="00BB56F4">
        <w:rPr>
          <w:rStyle w:val="11"/>
          <w:rFonts w:ascii="Times New Roman" w:eastAsia="Times New Roman" w:hAnsi="Times New Roman" w:cs="Times New Roman"/>
          <w:sz w:val="24"/>
          <w:szCs w:val="24"/>
        </w:rPr>
        <w:t>52/5-16</w:t>
      </w:r>
    </w:p>
    <w:p w:rsidR="002905D0" w:rsidRDefault="002905D0">
      <w:pPr>
        <w:widowControl w:val="0"/>
        <w:tabs>
          <w:tab w:val="left" w:pos="1134"/>
        </w:tabs>
        <w:spacing w:after="0" w:line="240" w:lineRule="auto"/>
        <w:jc w:val="right"/>
        <w:rPr>
          <w:rStyle w:val="11"/>
          <w:rFonts w:ascii="Times New Roman" w:eastAsia="Times New Roman" w:hAnsi="Times New Roman" w:cs="Times New Roman"/>
          <w:sz w:val="24"/>
          <w:szCs w:val="24"/>
        </w:rPr>
      </w:pPr>
    </w:p>
    <w:p w:rsidR="002905D0" w:rsidRDefault="00493D19">
      <w:pPr>
        <w:widowControl w:val="0"/>
        <w:tabs>
          <w:tab w:val="left" w:pos="1134"/>
        </w:tabs>
        <w:spacing w:after="0" w:line="240" w:lineRule="auto"/>
        <w:jc w:val="center"/>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Статья 41.</w:t>
      </w:r>
      <w:r>
        <w:rPr>
          <w:rFonts w:ascii="Times New Roman" w:hAnsi="Times New Roman" w:cs="Times New Roman"/>
          <w:b/>
          <w:bCs/>
          <w:spacing w:val="-1"/>
          <w:sz w:val="24"/>
          <w:szCs w:val="24"/>
        </w:rPr>
        <w:t xml:space="preserve"> Зоны с особыми условиями использования территорий по экологическим условиям и нормативному режиму хозяйственной деятельности сельского поселения.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сельского поселения</w:t>
      </w:r>
    </w:p>
    <w:p w:rsidR="002905D0" w:rsidRDefault="002905D0">
      <w:pPr>
        <w:widowControl w:val="0"/>
        <w:tabs>
          <w:tab w:val="left" w:pos="1134"/>
        </w:tabs>
        <w:spacing w:after="0" w:line="240" w:lineRule="auto"/>
        <w:jc w:val="both"/>
        <w:rPr>
          <w:rStyle w:val="11"/>
          <w:rFonts w:ascii="Times New Roman" w:eastAsia="Times New Roman" w:hAnsi="Times New Roman"/>
          <w:b/>
          <w:bCs/>
          <w:sz w:val="24"/>
          <w:szCs w:val="24"/>
        </w:rPr>
      </w:pPr>
    </w:p>
    <w:p w:rsidR="002905D0" w:rsidRDefault="00493D19">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2905D0" w:rsidRDefault="00493D19">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2905D0" w:rsidRDefault="00493D19">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2905D0" w:rsidRDefault="00493D19">
      <w:pPr>
        <w:widowControl w:val="0"/>
        <w:numPr>
          <w:ilvl w:val="0"/>
          <w:numId w:val="3"/>
        </w:numPr>
        <w:tabs>
          <w:tab w:val="clear" w:pos="425"/>
          <w:tab w:val="left" w:pos="839"/>
          <w:tab w:val="left" w:pos="1134"/>
        </w:tabs>
        <w:spacing w:after="0" w:line="240" w:lineRule="auto"/>
        <w:ind w:left="0" w:firstLine="567"/>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РФ от 28 февраля 2022 г. № 7 “О внесении изменений в постановление Главного государственного санитарного врача Российской Федерации от 25.09.2007 № 74”</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2.2.1/2.1.1. Проектирование, строительство, реконструкция и эксплуатация предприятий, планировка и застройка населенных мест 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 сентября 2007 г. N 74)</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Постановление Главного государственного санитарного врача Российской Федерации от 14.03.2002 N 10 "О введении в действие санитарных правил и норм "Зоны </w:t>
      </w:r>
      <w:r>
        <w:rPr>
          <w:rStyle w:val="11"/>
          <w:rFonts w:ascii="Times New Roman" w:eastAsia="Times New Roman" w:hAnsi="Times New Roman" w:cs="Times New Roman"/>
          <w:sz w:val="24"/>
          <w:szCs w:val="24"/>
        </w:rPr>
        <w:lastRenderedPageBreak/>
        <w:t>санитарной охраны источников водоснабжения и водопроводов питьевого назначения. СанПиН 2.1.4.1110-02".</w:t>
      </w:r>
    </w:p>
    <w:p w:rsidR="002905D0" w:rsidRDefault="00493D19" w:rsidP="004B2252">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2905D0" w:rsidRDefault="002905D0">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2905D0" w:rsidRDefault="002905D0">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2905D0" w:rsidRDefault="00493D19">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2905D0" w:rsidRDefault="002905D0">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2905D0" w:rsidRDefault="00493D1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2905D0" w:rsidRDefault="00493D1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2905D0" w:rsidRDefault="00493D1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2905D0" w:rsidRDefault="00493D1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2905D0" w:rsidRDefault="00493D19">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2905D0" w:rsidRDefault="002905D0">
      <w:pPr>
        <w:widowControl w:val="0"/>
        <w:tabs>
          <w:tab w:val="left" w:pos="1134"/>
        </w:tabs>
        <w:spacing w:after="0" w:line="240" w:lineRule="auto"/>
        <w:jc w:val="both"/>
        <w:rPr>
          <w:rStyle w:val="11"/>
          <w:rFonts w:ascii="Times New Roman" w:eastAsia="Times New Roman" w:hAnsi="Times New Roman" w:cs="Times New Roman"/>
          <w:sz w:val="24"/>
          <w:szCs w:val="24"/>
        </w:rPr>
      </w:pP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 Санитарно-защитные зоны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w:t>
      </w:r>
      <w:r>
        <w:rPr>
          <w:rStyle w:val="11"/>
          <w:rFonts w:ascii="Times New Roman" w:eastAsia="Times New Roman" w:hAnsi="Times New Roman" w:cs="Times New Roman"/>
          <w:sz w:val="24"/>
          <w:szCs w:val="24"/>
        </w:rPr>
        <w:lastRenderedPageBreak/>
        <w:t>"Градостроительство. Планировка и застройка городских и сельских поселений".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2905D0" w:rsidRDefault="002905D0"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w:t>
      </w:r>
      <w:r>
        <w:rPr>
          <w:rStyle w:val="11"/>
          <w:rFonts w:ascii="Times New Roman" w:eastAsia="Times New Roman" w:hAnsi="Times New Roman" w:cs="Times New Roman"/>
          <w:sz w:val="24"/>
          <w:szCs w:val="24"/>
        </w:rPr>
        <w:lastRenderedPageBreak/>
        <w:t>материалов (в охранных зонах подземных кабельных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б) Без письменного решения о согласовании сетевых организаций юридическим и физическим лицам запрещаются: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2905D0" w:rsidRDefault="00493D19">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устраивать свалки и склады, разливать растворы кислот, солей, щелочей и других химически активных веществ;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2905D0" w:rsidRDefault="00493D19">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2905D0" w:rsidRDefault="00493D19">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905D0" w:rsidRDefault="002905D0"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Н-6 Зоны санитарной охраны источников питьевого и хозяйственно-бытового водоснабжения.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2905D0">
      <w:pPr>
        <w:widowControl w:val="0"/>
        <w:tabs>
          <w:tab w:val="left" w:pos="1134"/>
        </w:tabs>
        <w:spacing w:after="0" w:line="240" w:lineRule="auto"/>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lastRenderedPageBreak/>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2905D0"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w:t>
      </w:r>
      <w:r>
        <w:rPr>
          <w:rStyle w:val="11"/>
          <w:rFonts w:ascii="Times New Roman" w:eastAsia="Times New Roman" w:hAnsi="Times New Roman" w:cs="Times New Roman"/>
          <w:sz w:val="24"/>
          <w:szCs w:val="24"/>
        </w:rPr>
        <w:lastRenderedPageBreak/>
        <w:t>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w:t>
      </w:r>
      <w:r>
        <w:rPr>
          <w:rStyle w:val="11"/>
          <w:rFonts w:ascii="Times New Roman" w:eastAsia="Times New Roman" w:hAnsi="Times New Roman" w:cs="Times New Roman"/>
          <w:sz w:val="24"/>
          <w:szCs w:val="24"/>
        </w:rPr>
        <w:lastRenderedPageBreak/>
        <w:t>утверждении Положения о зонах охраны объектов культурного наследия (памятников 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w:t>
      </w:r>
      <w:r>
        <w:rPr>
          <w:rStyle w:val="11"/>
          <w:rFonts w:ascii="Times New Roman" w:eastAsia="Times New Roman" w:hAnsi="Times New Roman" w:cs="Times New Roman"/>
          <w:sz w:val="24"/>
          <w:szCs w:val="24"/>
        </w:rPr>
        <w:lastRenderedPageBreak/>
        <w:t>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способствующие </w:t>
      </w:r>
      <w:r>
        <w:rPr>
          <w:rStyle w:val="11"/>
          <w:rFonts w:ascii="Times New Roman" w:eastAsia="Times New Roman" w:hAnsi="Times New Roman" w:cs="Times New Roman"/>
          <w:sz w:val="24"/>
          <w:szCs w:val="24"/>
        </w:rPr>
        <w:lastRenderedPageBreak/>
        <w:t>привлечению и массовому скоплению птиц;</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2905D0" w:rsidRDefault="002905D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2905D0" w:rsidRDefault="00493D19" w:rsidP="004B225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w:t>
      </w:r>
      <w:r>
        <w:rPr>
          <w:rStyle w:val="11"/>
          <w:rFonts w:ascii="Times New Roman" w:eastAsia="Times New Roman" w:hAnsi="Times New Roman" w:cs="Times New Roman"/>
          <w:sz w:val="24"/>
          <w:szCs w:val="24"/>
        </w:rPr>
        <w:lastRenderedPageBreak/>
        <w:t xml:space="preserve">производить колку и заготовку льда.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Судам и другим плавучим средствам запрещается бросать якоря, проходить с отданными якорями, цепями, лотами, волокушами и тралами;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устройство за свой счет дорог, подъездов, мостов и других сооружений, необходимых </w:t>
      </w:r>
      <w:r>
        <w:rPr>
          <w:rStyle w:val="11"/>
          <w:rFonts w:ascii="Times New Roman" w:eastAsia="Times New Roman" w:hAnsi="Times New Roman" w:cs="Times New Roman"/>
          <w:sz w:val="24"/>
          <w:szCs w:val="24"/>
        </w:rPr>
        <w:lastRenderedPageBreak/>
        <w:t>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разрытие ям, траншей и котлованов для ремонта линий связи и линий радиофикации с последующей их засыпкой;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w:t>
      </w:r>
      <w:r>
        <w:rPr>
          <w:rStyle w:val="11"/>
          <w:rFonts w:ascii="Times New Roman" w:eastAsia="Times New Roman" w:hAnsi="Times New Roman" w:cs="Times New Roman"/>
          <w:sz w:val="24"/>
          <w:szCs w:val="24"/>
        </w:rPr>
        <w:lastRenderedPageBreak/>
        <w:t>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2905D0" w:rsidRDefault="00493D19">
      <w:pPr>
        <w:widowControl w:val="0"/>
        <w:numPr>
          <w:ilvl w:val="0"/>
          <w:numId w:val="5"/>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3. Объекты культурного наследия подлежат государственной охране в целях предотвращения их повреждения, разрушения или уничтожения, изменения облика и </w:t>
      </w:r>
      <w:r>
        <w:rPr>
          <w:rStyle w:val="11"/>
          <w:rFonts w:ascii="Times New Roman" w:eastAsia="Times New Roman" w:hAnsi="Times New Roman" w:cs="Times New Roman"/>
          <w:sz w:val="24"/>
          <w:szCs w:val="24"/>
        </w:rPr>
        <w:lastRenderedPageBreak/>
        <w:t>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lastRenderedPageBreak/>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2905D0" w:rsidRDefault="00493D19">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905D0" w:rsidRDefault="00493D19">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2905D0" w:rsidRDefault="00493D19">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905D0" w:rsidRDefault="002905D0">
      <w:pPr>
        <w:widowControl w:val="0"/>
        <w:tabs>
          <w:tab w:val="left" w:pos="1134"/>
        </w:tabs>
        <w:spacing w:after="0" w:line="240" w:lineRule="auto"/>
        <w:jc w:val="right"/>
        <w:rPr>
          <w:rStyle w:val="11"/>
          <w:rFonts w:ascii="Times New Roman" w:eastAsia="Times New Roman" w:hAnsi="Times New Roman" w:cs="Times New Roman"/>
          <w:sz w:val="24"/>
          <w:szCs w:val="24"/>
        </w:rPr>
      </w:pPr>
    </w:p>
    <w:p w:rsidR="002905D0" w:rsidRDefault="002905D0">
      <w:pPr>
        <w:widowControl w:val="0"/>
        <w:tabs>
          <w:tab w:val="left" w:pos="1134"/>
        </w:tabs>
        <w:spacing w:after="0" w:line="240" w:lineRule="auto"/>
        <w:jc w:val="both"/>
        <w:rPr>
          <w:rStyle w:val="11"/>
          <w:rFonts w:ascii="Times New Roman" w:eastAsia="Times New Roman" w:hAnsi="Times New Roman" w:cs="Times New Roman"/>
          <w:sz w:val="24"/>
          <w:szCs w:val="24"/>
        </w:rPr>
      </w:pPr>
    </w:p>
    <w:p w:rsidR="002905D0" w:rsidRDefault="002905D0">
      <w:pPr>
        <w:widowControl w:val="0"/>
        <w:tabs>
          <w:tab w:val="left" w:pos="1134"/>
        </w:tabs>
        <w:spacing w:after="0" w:line="240" w:lineRule="auto"/>
        <w:jc w:val="both"/>
        <w:rPr>
          <w:rStyle w:val="11"/>
          <w:rFonts w:ascii="Times New Roman" w:eastAsia="Times New Roman" w:hAnsi="Times New Roman" w:cs="Times New Roman"/>
          <w:sz w:val="24"/>
          <w:szCs w:val="24"/>
        </w:rPr>
      </w:pPr>
    </w:p>
    <w:p w:rsidR="002905D0" w:rsidRDefault="002905D0">
      <w:pPr>
        <w:widowControl w:val="0"/>
        <w:tabs>
          <w:tab w:val="left" w:pos="1134"/>
        </w:tabs>
        <w:spacing w:after="0" w:line="240" w:lineRule="auto"/>
        <w:jc w:val="both"/>
        <w:rPr>
          <w:rStyle w:val="11"/>
          <w:rFonts w:ascii="Times New Roman" w:eastAsia="Times New Roman" w:hAnsi="Times New Roman" w:cs="Times New Roman"/>
          <w:sz w:val="24"/>
          <w:szCs w:val="24"/>
        </w:rPr>
      </w:pPr>
    </w:p>
    <w:p w:rsidR="002905D0" w:rsidRDefault="002905D0">
      <w:pPr>
        <w:widowControl w:val="0"/>
        <w:suppressAutoHyphens w:val="0"/>
        <w:spacing w:line="240" w:lineRule="auto"/>
        <w:ind w:firstLine="15"/>
        <w:contextualSpacing/>
        <w:jc w:val="both"/>
        <w:rPr>
          <w:rFonts w:ascii="Times New Roman" w:eastAsia="Calibri" w:hAnsi="Times New Roman" w:cs="Times New Roman"/>
          <w:sz w:val="24"/>
          <w:szCs w:val="24"/>
          <w:lang w:bidi="en-US"/>
        </w:rPr>
      </w:pPr>
      <w:bookmarkStart w:id="4" w:name="_GoBack"/>
      <w:bookmarkEnd w:id="4"/>
    </w:p>
    <w:sectPr w:rsidR="002905D0">
      <w:pgSz w:w="12240" w:h="15840"/>
      <w:pgMar w:top="845" w:right="851" w:bottom="695" w:left="1701" w:header="0" w:footer="0" w:gutter="0"/>
      <w:cols w:space="720"/>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ED7" w:rsidRDefault="00B55ED7">
      <w:pPr>
        <w:spacing w:line="240" w:lineRule="auto"/>
      </w:pPr>
      <w:r>
        <w:separator/>
      </w:r>
    </w:p>
  </w:endnote>
  <w:endnote w:type="continuationSeparator" w:id="0">
    <w:p w:rsidR="00B55ED7" w:rsidRDefault="00B55E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altName w:val="Cambria"/>
    <w:panose1 w:val="02040503050406030204"/>
    <w:charset w:val="CC"/>
    <w:family w:val="roman"/>
    <w:pitch w:val="variable"/>
    <w:sig w:usb0="E00006FF" w:usb1="420024FF" w:usb2="02000000" w:usb3="00000000" w:csb0="0000019F" w:csb1="00000000"/>
  </w:font>
  <w:font w:name="Tahoma">
    <w:altName w:val="Plotter"/>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ED7" w:rsidRDefault="00B55ED7">
      <w:pPr>
        <w:spacing w:after="0"/>
      </w:pPr>
      <w:r>
        <w:separator/>
      </w:r>
    </w:p>
  </w:footnote>
  <w:footnote w:type="continuationSeparator" w:id="0">
    <w:p w:rsidR="00B55ED7" w:rsidRDefault="00B55E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9B6B3A"/>
    <w:multiLevelType w:val="multilevel"/>
    <w:tmpl w:val="809B6B3A"/>
    <w:lvl w:ilvl="0">
      <w:start w:val="1"/>
      <w:numFmt w:val="decimal"/>
      <w:suff w:val="space"/>
      <w:lvlText w:val="%1."/>
      <w:lvlJc w:val="left"/>
    </w:lvl>
    <w:lvl w:ilvl="1">
      <w:start w:val="1"/>
      <w:numFmt w:val="decimal"/>
      <w:isLgl/>
      <w:lvlText w:val="%1.%2."/>
      <w:lvlJc w:val="left"/>
      <w:pPr>
        <w:ind w:left="360" w:hanging="36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1">
    <w:nsid w:val="8D0E19B3"/>
    <w:multiLevelType w:val="singleLevel"/>
    <w:tmpl w:val="8D0E19B3"/>
    <w:lvl w:ilvl="0">
      <w:start w:val="1"/>
      <w:numFmt w:val="decimal"/>
      <w:suff w:val="space"/>
      <w:lvlText w:val="%1."/>
      <w:lvlJc w:val="left"/>
    </w:lvl>
  </w:abstractNum>
  <w:abstractNum w:abstractNumId="2">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3">
    <w:nsid w:val="D18E00AB"/>
    <w:multiLevelType w:val="singleLevel"/>
    <w:tmpl w:val="D18E00AB"/>
    <w:lvl w:ilvl="0">
      <w:start w:val="1"/>
      <w:numFmt w:val="decimal"/>
      <w:suff w:val="space"/>
      <w:lvlText w:val="%1."/>
      <w:lvlJc w:val="left"/>
    </w:lvl>
  </w:abstractNum>
  <w:abstractNum w:abstractNumId="4">
    <w:nsid w:val="62611FDF"/>
    <w:multiLevelType w:val="singleLevel"/>
    <w:tmpl w:val="62611FDF"/>
    <w:lvl w:ilvl="0">
      <w:start w:val="1"/>
      <w:numFmt w:val="decimal"/>
      <w:suff w:val="space"/>
      <w:lvlText w:val="%1."/>
      <w:lvlJc w:val="left"/>
    </w:lvl>
  </w:abstractNum>
  <w:abstractNum w:abstractNumId="5">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86"/>
    <w:rsid w:val="00130786"/>
    <w:rsid w:val="0016078A"/>
    <w:rsid w:val="00161134"/>
    <w:rsid w:val="002864FA"/>
    <w:rsid w:val="002905D0"/>
    <w:rsid w:val="003A42F3"/>
    <w:rsid w:val="00493D19"/>
    <w:rsid w:val="004B2252"/>
    <w:rsid w:val="006F0B22"/>
    <w:rsid w:val="00835227"/>
    <w:rsid w:val="00890082"/>
    <w:rsid w:val="00B55ED7"/>
    <w:rsid w:val="00B76FD5"/>
    <w:rsid w:val="00B94429"/>
    <w:rsid w:val="00BB56F4"/>
    <w:rsid w:val="00BC4B6E"/>
    <w:rsid w:val="00D5577E"/>
    <w:rsid w:val="00E40A87"/>
    <w:rsid w:val="00F11291"/>
    <w:rsid w:val="14AB2D57"/>
    <w:rsid w:val="1BC03D75"/>
    <w:rsid w:val="24C80E7A"/>
    <w:rsid w:val="26D94C78"/>
    <w:rsid w:val="27504396"/>
    <w:rsid w:val="2AC16677"/>
    <w:rsid w:val="36455867"/>
    <w:rsid w:val="38E962CD"/>
    <w:rsid w:val="42575CAC"/>
    <w:rsid w:val="449141B3"/>
    <w:rsid w:val="499E71D9"/>
    <w:rsid w:val="4C595692"/>
    <w:rsid w:val="4F510403"/>
    <w:rsid w:val="50C3347D"/>
    <w:rsid w:val="575E1ADB"/>
    <w:rsid w:val="658D617F"/>
    <w:rsid w:val="7E414E75"/>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customStyle="1" w:styleId="14">
    <w:name w:val="Без интервала1"/>
    <w:basedOn w:val="a"/>
    <w:uiPriority w:val="67"/>
    <w:pPr>
      <w:spacing w:after="0" w:line="240" w:lineRule="auto"/>
    </w:pPr>
  </w:style>
  <w:style w:type="paragraph" w:styleId="af">
    <w:name w:val="Balloon Text"/>
    <w:basedOn w:val="a"/>
    <w:link w:val="af0"/>
    <w:uiPriority w:val="99"/>
    <w:semiHidden/>
    <w:unhideWhenUsed/>
    <w:rsid w:val="002864F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864FA"/>
    <w:rPr>
      <w:rFonts w:ascii="Tahoma" w:eastAsiaTheme="minorEastAsia"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customStyle="1" w:styleId="14">
    <w:name w:val="Без интервала1"/>
    <w:basedOn w:val="a"/>
    <w:uiPriority w:val="67"/>
    <w:pPr>
      <w:spacing w:after="0" w:line="240" w:lineRule="auto"/>
    </w:pPr>
  </w:style>
  <w:style w:type="paragraph" w:styleId="af">
    <w:name w:val="Balloon Text"/>
    <w:basedOn w:val="a"/>
    <w:link w:val="af0"/>
    <w:uiPriority w:val="99"/>
    <w:semiHidden/>
    <w:unhideWhenUsed/>
    <w:rsid w:val="002864F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864FA"/>
    <w:rPr>
      <w:rFonts w:ascii="Tahoma" w:eastAsiaTheme="minorEastAsi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19</Pages>
  <Words>9390</Words>
  <Characters>53524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14</cp:revision>
  <cp:lastPrinted>2025-05-19T09:11:00Z</cp:lastPrinted>
  <dcterms:created xsi:type="dcterms:W3CDTF">2023-12-12T11:10:00Z</dcterms:created>
  <dcterms:modified xsi:type="dcterms:W3CDTF">2025-06-03T12:06:00Z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BA625B455F4E4D45913FED09A69456B9_13</vt:lpwstr>
  </property>
  <property fmtid="{D5CDD505-2E9C-101B-9397-08002B2CF9AE}" pid="6" name="KSOProductBuildVer">
    <vt:lpwstr>1049-12.2.0.20795</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