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Участие в прямой линии на телеканале «Юрган» 5 апреля 2023 года</w:t>
      </w:r>
    </w:p>
    <w:tbl>
      <w:tblPr>
        <w:tblStyle w:val="a3"/>
        <w:tblW w:w="15276" w:type="dxa"/>
        <w:jc w:val="left"/>
        <w:tblInd w:w="-5" w:type="dxa"/>
        <w:tblCellMar>
          <w:top w:w="0" w:type="dxa"/>
          <w:left w:w="103" w:type="dxa"/>
          <w:bottom w:w="0" w:type="dxa"/>
          <w:right w:w="108" w:type="dxa"/>
        </w:tblCellMar>
        <w:tblLook w:firstRow="1" w:noVBand="1" w:lastRow="0" w:firstColumn="1" w:lastColumn="0" w:noHBand="0" w:val="04a0"/>
      </w:tblPr>
      <w:tblGrid>
        <w:gridCol w:w="959"/>
        <w:gridCol w:w="1984"/>
        <w:gridCol w:w="4962"/>
        <w:gridCol w:w="7370"/>
      </w:tblGrid>
      <w:tr>
        <w:trPr/>
        <w:tc>
          <w:tcPr>
            <w:tcW w:w="959" w:type="dxa"/>
            <w:tcBorders/>
            <w:shd w:fill="auto" w:val="clear"/>
            <w:tcMar>
              <w:left w:w="103" w:type="dxa"/>
            </w:tcMar>
          </w:tcPr>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w:t>
            </w:r>
          </w:p>
        </w:tc>
        <w:tc>
          <w:tcPr>
            <w:tcW w:w="1984" w:type="dxa"/>
            <w:tcBorders/>
            <w:shd w:fill="auto" w:val="clear"/>
            <w:tcMar>
              <w:left w:w="103" w:type="dxa"/>
            </w:tcMar>
          </w:tcPr>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Населенный пункт</w:t>
            </w:r>
          </w:p>
        </w:tc>
        <w:tc>
          <w:tcPr>
            <w:tcW w:w="4962" w:type="dxa"/>
            <w:tcBorders/>
            <w:shd w:fill="auto" w:val="clear"/>
            <w:tcMar>
              <w:left w:w="103" w:type="dxa"/>
            </w:tcMar>
          </w:tcPr>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Вопрос</w:t>
            </w:r>
          </w:p>
        </w:tc>
        <w:tc>
          <w:tcPr>
            <w:tcW w:w="7370" w:type="dxa"/>
            <w:tcBorders/>
            <w:shd w:fill="auto" w:val="clear"/>
            <w:tcMar>
              <w:left w:w="103" w:type="dxa"/>
            </w:tcMar>
          </w:tcPr>
          <w:p>
            <w:pPr>
              <w:pStyle w:val="Normal"/>
              <w:spacing w:lineRule="auto" w:line="240" w:before="0" w:after="0"/>
              <w:jc w:val="center"/>
              <w:rPr/>
            </w:pPr>
            <w:r>
              <w:rPr>
                <w:rFonts w:cs="Times New Roman" w:ascii="Times New Roman" w:hAnsi="Times New Roman"/>
                <w:sz w:val="32"/>
                <w:szCs w:val="32"/>
              </w:rPr>
              <w:t xml:space="preserve">Ответ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с. Выльгорт</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Дом №14 по ул. Мичурина с. Выльгорт признан ветхим, аварийным. Проживать в данном доме невозможно, особенно зимой. В квартирах температура зимой 7-11градусов. На полу замерзает вода, пол в туалете проваливается. Если не переселят в этом году, то не знаем, как будем выживать следующую зиму. Когда переселят жильцов данного дома?</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Многоквартирный дом признан аварийным и подлежащим сносу в 2016 году. В настоящее время на территории Республики Коми реализуется республиканская адресная программа по переселению граждан из аварийного жилищного фонда, признанных таковыми с 01.01.2012 до 01.01.2017. Расселение указанного многоквартирного жилого дома запланировано в этапе, срок реализации которого 2023-2024 </w:t>
            </w:r>
            <w:r>
              <w:rPr>
                <w:rFonts w:cs="Times New Roman" w:ascii="Times New Roman" w:hAnsi="Times New Roman"/>
                <w:i w:val="false"/>
                <w:iCs w:val="false"/>
                <w:sz w:val="32"/>
                <w:szCs w:val="32"/>
              </w:rPr>
              <w:t>(исходя и даты признания дома аварийным).</w:t>
            </w:r>
            <w:r>
              <w:rPr>
                <w:rFonts w:cs="Times New Roman" w:ascii="Times New Roman" w:hAnsi="Times New Roman"/>
                <w:i/>
                <w:iCs/>
                <w:sz w:val="32"/>
                <w:szCs w:val="32"/>
              </w:rPr>
              <w:t xml:space="preserve"> </w:t>
            </w:r>
            <w:r>
              <w:rPr>
                <w:rFonts w:cs="Times New Roman" w:ascii="Times New Roman" w:hAnsi="Times New Roman"/>
                <w:sz w:val="32"/>
                <w:szCs w:val="32"/>
              </w:rPr>
              <w:t>Срок переселения до 30.09.2024.</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указанном аварийном доме 12 квартир, из которых 11 – частная собственность, 1 – муниципальная собственность.</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Решение об изъятии для муниципальных нужд земельного участка под многоквартирным домом принято</w:t>
            </w:r>
            <w:r>
              <w:rPr>
                <w:rFonts w:cs="Times New Roman" w:ascii="Times New Roman" w:hAnsi="Times New Roman"/>
                <w:i w:val="false"/>
                <w:iCs w:val="false"/>
                <w:sz w:val="32"/>
                <w:szCs w:val="32"/>
              </w:rPr>
              <w:t xml:space="preserve"> (постановление от 03.02.2023 №2/132.</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i w:val="false"/>
                <w:iCs w:val="false"/>
                <w:sz w:val="32"/>
                <w:szCs w:val="32"/>
              </w:rPr>
              <w:t>Заключен договор на оценку жилых помещений (13.03.2023),</w:t>
            </w:r>
            <w:r>
              <w:rPr>
                <w:rFonts w:cs="Times New Roman" w:ascii="Times New Roman" w:hAnsi="Times New Roman"/>
                <w:sz w:val="32"/>
                <w:szCs w:val="32"/>
              </w:rPr>
              <w:t xml:space="preserve"> находящихся в собственности граждан. Результаты оценки планируется получить до 01.07.2023.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 результатам оценки собственникам жилых помещений будет направлен проект соглашения об изъятии жилого помещения для муниципальных нужд.</w:t>
            </w:r>
          </w:p>
          <w:p>
            <w:pPr>
              <w:pStyle w:val="Normal"/>
              <w:spacing w:lineRule="auto" w:line="240" w:before="0" w:after="0"/>
              <w:jc w:val="both"/>
              <w:rPr/>
            </w:pPr>
            <w:r>
              <w:rPr>
                <w:rFonts w:cs="Times New Roman" w:ascii="Times New Roman" w:hAnsi="Times New Roman"/>
                <w:sz w:val="32"/>
                <w:szCs w:val="32"/>
              </w:rPr>
              <w:t>В целях расселения муниципальной квартиры приобретается жилое помещение в многоквартирном жилом доме в границах населенного пункта Выльгорт. В настоящее время проводятся закупочные процедуры в соответствии с нормами Федерального закона 44-ФЗ. После оформления жилого помещения в собственность муниципального образования, с переселяемыми заключается договор социального найма.</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с. Выльгорт</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Почему у жителей с. Выльгорт тариф на тепло значительно выше,  чем у жителей г. Сыктывкара?</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Республике Коми тарифы на коммунальные услуги устанавливаются в соответствии с требованиями действующего законодательства, обязательного для применения на всей территории Российской Федерации с учетом тарифных ограничений в виде основных параметров прогноза показателей инфляции и системы цен, а также с учетом роста размеров платы граждан за коммунальные услуги.  Контроль за их установлением  осуществляется как на федеральном так и на региональном уровнях уполномоченными органами и общественностью на постоянной основе.</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Тарифы на коммунальные услуги рассчитываются на основании необходимой валовой выручки (далее – НВВ)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НВВ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 Определение состава расходов, включаемых в НВВ,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соответствующими Методическими указаниями, нормативными актами Российской  Федерации.</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Для снижения затратных составляющих в тарифах органом регулирования осуществляется нормирование расходов на оплату труда и ресурсов (рассчитываются удельные нормы расхода электроэнергии, тепла, воды), исключаются экономически необоснованные расходы организаций, включаются затраты на реализацию энергосберегающих мероприятий. Также при установлении тарифов из НВВ исключаются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При этом установление тарифов ниже экономически обоснованного уровня может привести к серьезным авариям в отопительном периоде, сбоям в предоставлении коммунальных услуг, поскольку предприятия коммунальной сферы развиваются за счёт тарифов, и низкий уровень тарифов может привести к недофинансированию работ по модернизации и ремонту инженерных сетей и  повышению износа всей коммунальной инфраструктуры.</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Решения об установлении цен (тарифов) принимаются по итогам открытого заседания Правления Минстроя РК (коллегиальный орган), фиксируются протоколом, включающим основные предложения регулируемой организации к утверждению и  расчетные данные в разрезе статей затрат.</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Тарифы на коммунальные услуги устанавливаются с календарной разбивкой по полугодиям исходя из не превышения величины тарифов в первом полугодии очередного расчетного годового периода регулирования над величиной соответствующих тарифов во втором полугодии, с учетом параметров Прогноза социально-экономического развития Российской Федерации на соответствующий плановый период, разрабатываемого Минэкономразвития России и согласовываемого Правительством Российской Федерации.</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Обращаем внимание, что рост тарифов на коммунальные услуги, оказываемые населению, ограничен средними индексами изменения размера вносимой гражданами платы за коммунальные услуги в среднем по субъектам Российской Федерации, утверждаемыми Правительством Российской Федерации. Распоряжением Правительства РФ от 14 ноября 2022 года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утверждено предельно допустимое отклонение с 1 января 2023 г. по 31 декабря 2023 г. в размере 0 процентов.</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С 2010 года в Республике Коми устанавливаются льготные тарифы на тепловую энергию в рамках проводимой работы по социальной поддержке населения и снижению тарифного бремени жителей сельских населенных пунктов с компенсацией выпадающих доходов теплоснабжающим организациям за счет средств республиканского бюджета. </w:t>
            </w:r>
          </w:p>
          <w:p>
            <w:pPr>
              <w:pStyle w:val="Normal"/>
              <w:spacing w:lineRule="auto" w:line="240" w:before="0" w:after="0"/>
              <w:jc w:val="both"/>
              <w:rPr>
                <w:rFonts w:ascii="Times New Roman" w:hAnsi="Times New Roman" w:cs="Times New Roman"/>
                <w:b/>
                <w:b/>
                <w:sz w:val="32"/>
                <w:szCs w:val="32"/>
              </w:rPr>
            </w:pPr>
            <w:r>
              <w:rPr>
                <w:rFonts w:cs="Times New Roman" w:ascii="Times New Roman" w:hAnsi="Times New Roman"/>
                <w:b/>
                <w:sz w:val="32"/>
                <w:szCs w:val="32"/>
              </w:rPr>
              <w:t>В части тарифов на тепловую энергию.</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Подлежащие регулированию цены (тарифы) в сфере теплоснабжения устанавливаются в отношении каждой организации, осуществляющей регулируемые виды деятельности и в отношении каждого регулируемого вида деятельности.</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Устанавливаемые органами регулирования тарифы на тепловую энергию могут быть дифференцированы, в том числе, по системам теплоснабжения. Решение о дифференциации тарифов по системам теплоснабжения (источникам тепловой энергии) принимается органом регулирования по ходатайству теплоснабжающей организации на основании представленных данных о наличии раздельного бухгалтерского учета по дифференцируемым участкам теплоснабжения.</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На уровень тарифов на тепловую энергию, поставляемую потребителям регулируемой организацией, влияет совокупность следующих факторов: объём реализации коммунальных услуг (обратно-пропорциональная зависимость размера тарифа от объёма реализации коммунальных услуг: чем больше объем реализации услуг по конкретной ресурсоснабжающей организации, тем меньше размер тарифа за счет распределения условно-постоянных расходов организации между большим количеством потребителей), вид применяемого топлива, затраты на услуги по передаче тепла, энергоёмкость установленного оборудования, величина подключенной нагрузки, степень загрузки установленного оборудования, степень изношенности сетей и оборудования (что влияет на расходы, необходимые для поддержания систем коммунальной инфраструктуры в рабочем состоянии) и т.д.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Поставщиком коммунальной услуги теплоснабжения в с.Выльгорт  является ООО «Сыктывдинская тепловая компания», которая осуществляет эксплуатацию 19 котельных на территории Сыктывдинского района, использующих в качестве топлива газ, мазут топочный, пеллеты.</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соответствии с действующим законодательством тарифы на тепловую энергию, поставляемую ООО «Сыктывдинская тепловая компания» населению, на 2023 год установлены без роста с 01.01.2023 г. по отношению к действовавшим в течении 2022 г. (Приказ Комитета Республики Коми по тарифам от 30.11.2022 N 86/1 "О льготных тарифах на тепловую энергию (мощность) в Республике Коми на 2023 год").</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части снижения тарифов на тепловую энергию для населения с. Выльгорт  за счет топливной составляющей в тарифе сообщаем следующее.</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Действительно, производство тепловой энергии на газовых котельных энергоэффективнее, чем в котельных, работающих на угле. Но при расчете отдельного тарифа для котельных, расположенных в с. Выльгорт, работающих на газе, уменьшиться только топливная составляющая в структуре тарифа на тепловую энергию. Однако, кроме топливной составляющей при формировании тарифов учитываются и другие затраты (затраты на энергетические ресурсы, воду, амортизацию, аренду, ФОТ, отчисления на социальные нужды  и т.д.), которые в тарифе ООО «Сыктывдинская тепловая компания» составляют  более 67%.</w:t>
            </w:r>
          </w:p>
          <w:p>
            <w:pPr>
              <w:pStyle w:val="Normal"/>
              <w:spacing w:lineRule="auto" w:line="240" w:before="0" w:after="0"/>
              <w:jc w:val="both"/>
              <w:rPr>
                <w:rFonts w:ascii="Times New Roman" w:hAnsi="Times New Roman" w:cs="Times New Roman"/>
                <w:b/>
                <w:b/>
                <w:sz w:val="32"/>
                <w:szCs w:val="32"/>
              </w:rPr>
            </w:pPr>
            <w:r>
              <w:rPr>
                <w:rFonts w:cs="Times New Roman" w:ascii="Times New Roman" w:hAnsi="Times New Roman"/>
                <w:b/>
                <w:sz w:val="32"/>
                <w:szCs w:val="32"/>
              </w:rPr>
              <w:t xml:space="preserve">Выплата субсидии на оплату жилищно-коммунальных услуг.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В целях обеспечения социальной защиты граждан, имеющих низкий уровень доходов, статьей 159 Жилищного Кодекса Российской Федерации предусмотрено предоставление субсидий на оплату жилого помещения и коммунальных услуг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Постановлением Правительства Российской Федерации от 29.08.2005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 Правила предоставления субсидий на оплату жилого помещения и коммунальных услуг утверждены постановлением Правительства Российской Федерации от 14.12.2005 № 761.</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За предоставлением субсидии на оплату жилого помещения и коммунальных услуг граждане могут  обратиться в органы социальной защиты населения.</w:t>
            </w:r>
          </w:p>
          <w:p>
            <w:pPr>
              <w:pStyle w:val="Normal"/>
              <w:spacing w:lineRule="auto" w:line="240" w:before="0" w:after="0"/>
              <w:jc w:val="both"/>
              <w:rPr/>
            </w:pPr>
            <w:r>
              <w:rPr>
                <w:rFonts w:cs="Times New Roman" w:ascii="Times New Roman" w:hAnsi="Times New Roman"/>
                <w:sz w:val="32"/>
                <w:szCs w:val="32"/>
              </w:rPr>
              <w:t xml:space="preserve">При этом обращаем Ваше внимание, что субсидии предоставляются гражданам при отсутствии у них задолженности по оплате жилого помещения и коммунальных услуг и (или) при заключении и выполнении гражданами соглашений по ее погашению. </w:t>
            </w:r>
          </w:p>
        </w:tc>
      </w:tr>
      <w:tr>
        <w:trPr>
          <w:trHeight w:val="1255" w:hRule="atLeast"/>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с. Выльгорт</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 xml:space="preserve">Просьба в содействии решения вопроса по строительству водопровода по программе «Чистая вода» (хотя бы до границ земельных участков) жителям частных домов улиц Нагорная и Вавилина с. Выльгорт. Вода в колодцах поверхностная, а в зимний и летний периоды колодцы почти пустые. На сегодня вдоль улиц проведена водопроводная труба. Но для подключения у людей просят по 250-300тыс. рублей, что многим неподъёмно.   </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Органами местного самоуправления совместно с ресурсоснабжающими организациями возможна реализация инвестиционных проектов по водоснабжению и водоотведению территорий населенных пунктов.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На основании пункта 2 постановления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(далее – постановление Правительства РФ № 641) проект инвестиционной программы разрабатывается регулируемой организацией.</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В соответствии с пунктом 9 постановления Правительства РФ № 641 Орган местного самоуправления до 1 марта года, предшествующего году начала планируемого срока действия инвестиционной программы, утверждает техническое задание и не позднее 3 дней со дня его утверждения направляет его в регулируемую организацию для разработки инвестиционной программы.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В связи с чем, администрацией района принято решение о включении мероприятий в техническое задание для разработки инвестиционной программы ОАО «Сыктывкарский Водоканал» по проектированию и строительству сетей водоснабжения и водоотведения на 2024 год.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с. Выльгорт</w:t>
            </w:r>
          </w:p>
        </w:tc>
        <w:tc>
          <w:tcPr>
            <w:tcW w:w="4962" w:type="dxa"/>
            <w:tcBorders/>
            <w:shd w:fill="auto" w:val="clear"/>
            <w:tcMar>
              <w:left w:w="103" w:type="dxa"/>
            </w:tcMar>
          </w:tcPr>
          <w:p>
            <w:pPr>
              <w:pStyle w:val="Normal"/>
              <w:spacing w:lineRule="auto" w:line="240" w:before="0" w:after="0"/>
              <w:contextualSpacing/>
              <w:jc w:val="both"/>
              <w:rPr/>
            </w:pPr>
            <w:r>
              <w:rPr>
                <w:rFonts w:cs="Times New Roman" w:ascii="Times New Roman" w:hAnsi="Times New Roman"/>
                <w:sz w:val="32"/>
                <w:szCs w:val="32"/>
              </w:rPr>
              <w:t>Какие перспективы строительства жилых домов не только для переселения из ветхих аварийных домов, но и для очередников получения жилья.</w:t>
            </w:r>
          </w:p>
        </w:tc>
        <w:tc>
          <w:tcPr>
            <w:tcW w:w="7370" w:type="dxa"/>
            <w:tcBorders/>
            <w:shd w:fill="auto" w:val="clear"/>
            <w:tcMar>
              <w:left w:w="103" w:type="dxa"/>
            </w:tcMar>
          </w:tcPr>
          <w:p>
            <w:pPr>
              <w:pStyle w:val="Normal"/>
              <w:spacing w:lineRule="auto" w:line="240" w:before="0" w:after="0"/>
              <w:jc w:val="both"/>
              <w:rPr>
                <w:sz w:val="32"/>
                <w:szCs w:val="32"/>
              </w:rPr>
            </w:pPr>
            <w:r>
              <w:rPr>
                <w:rFonts w:cs="Times New Roman" w:ascii="Times New Roman" w:hAnsi="Times New Roman"/>
                <w:sz w:val="32"/>
                <w:szCs w:val="32"/>
              </w:rPr>
              <w:t xml:space="preserve">В настоящее время в с. Выльгорт строятся 2 многоквартирных жилых дома в Школьном переулке с общим количеством квартир 102 и  в м. Пичипашня с общим количеством квартир 112. </w:t>
            </w:r>
          </w:p>
          <w:p>
            <w:pPr>
              <w:pStyle w:val="Normal"/>
              <w:spacing w:lineRule="auto" w:line="240" w:before="0" w:after="0"/>
              <w:jc w:val="both"/>
              <w:rPr/>
            </w:pPr>
            <w:r>
              <w:rPr>
                <w:rFonts w:cs="Times New Roman" w:ascii="Times New Roman" w:hAnsi="Times New Roman"/>
                <w:sz w:val="32"/>
                <w:szCs w:val="32"/>
              </w:rPr>
              <w:t xml:space="preserve">Администрацией муниципального района «Сыктывдинский» прорабатывается вопрос по заключению соглашения с Фондом развития жилищного строительства в Республике Коми о комплексном развитии территорий. В рамках данного соглашения рассматриваются земельные участки как ранее застроенные территории (ул. Рабочая, Железнодорождная и др.), так и незастроенные территории (м. Пичипашня).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д. М. Слуда</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Когда будут проводить газ жителям д. Малая Слуда и Большая Слуда?</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Администрацией района в марте 2022 года на основании запроса АО «Газпром газораспределение Сыктывкар» «О проработке вопроса о включении в программу газификации негазифицированных населенных пунктов»  находящихся вблизи действующих сетей газораспределения,  направлены сведения о количестве индивидуальных домовладений и численности проживающих по населенным пунктам: д.Большая Слуда, д.Малая Слуда,.</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Представленный список домовладений АО «Газпром газораспределение Сыктывкар» на 2023 год утвержден не был.</w:t>
            </w:r>
          </w:p>
          <w:p>
            <w:pPr>
              <w:pStyle w:val="Normal"/>
              <w:spacing w:lineRule="auto" w:line="240" w:before="0" w:after="0"/>
              <w:jc w:val="both"/>
              <w:rPr/>
            </w:pPr>
            <w:r>
              <w:rPr>
                <w:rFonts w:cs="Times New Roman" w:ascii="Times New Roman" w:hAnsi="Times New Roman"/>
                <w:sz w:val="32"/>
                <w:szCs w:val="32"/>
              </w:rPr>
              <w:t>Аналогичная информация о желающих газифицировать индивидуальные жилые дома в д. Малая Слуда и д. Большая Слуда была направлена в министерство строительства и жилищно-коммунального хозяйства Республики Коми. По информации представленной министерством строительства и жилищно-коммунального хозяйства Республики Коми при актуализации программы газификации  Республики Коми на 2024 год  перечень указанных домов будет заявлен повторно.</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с. Ыб</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Когда переселят жильцов дома №10 с. Ыб? Дом ветхий, аварийный, не пригодный для нормального проживания. Своими силами проводить утепления в доме бесполезно.</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Многоквартирный дом признан аварийным и подлежащим сносу постановлением администрации сельского поселения «Ыб» от 12.09.2019 №09/53. </w:t>
            </w:r>
          </w:p>
          <w:p>
            <w:pPr>
              <w:pStyle w:val="Normal"/>
              <w:spacing w:lineRule="auto" w:line="240" w:before="0" w:after="0"/>
              <w:jc w:val="both"/>
              <w:rPr>
                <w:rFonts w:ascii="Times New Roman" w:hAnsi="Times New Roman" w:cs="Times New Roman"/>
                <w:i/>
                <w:i/>
                <w:iCs/>
                <w:sz w:val="32"/>
                <w:szCs w:val="32"/>
              </w:rPr>
            </w:pPr>
            <w:r>
              <w:rPr>
                <w:rFonts w:cs="Times New Roman" w:ascii="Times New Roman" w:hAnsi="Times New Roman"/>
                <w:sz w:val="32"/>
                <w:szCs w:val="32"/>
              </w:rPr>
              <w:t xml:space="preserve">Поскольку дом признан аварийным после 01.01.2017, он не подлежит расселению в рамках действующей </w:t>
            </w:r>
            <w:r>
              <w:rPr>
                <w:rFonts w:cs="Times New Roman" w:ascii="Times New Roman" w:hAnsi="Times New Roman"/>
                <w:i w:val="false"/>
                <w:iCs w:val="false"/>
                <w:sz w:val="32"/>
                <w:szCs w:val="32"/>
              </w:rPr>
              <w:t>в настоящее время программы переселения. (утверждена на период 2019-2024; расселяются МКД, признанные аварийными в период с 01.01.2012 до 01.01.2017)</w:t>
            </w:r>
          </w:p>
          <w:p>
            <w:pPr>
              <w:pStyle w:val="Normal"/>
              <w:spacing w:lineRule="auto" w:line="240" w:before="0" w:after="0"/>
              <w:jc w:val="both"/>
              <w:rPr>
                <w:rFonts w:ascii="Times New Roman" w:hAnsi="Times New Roman" w:cs="Times New Roman"/>
                <w:i/>
                <w:i/>
                <w:iCs/>
                <w:sz w:val="32"/>
                <w:szCs w:val="32"/>
              </w:rPr>
            </w:pPr>
            <w:r>
              <w:rPr>
                <w:rFonts w:cs="Times New Roman" w:ascii="Times New Roman" w:hAnsi="Times New Roman"/>
                <w:i w:val="false"/>
                <w:iCs w:val="false"/>
                <w:sz w:val="32"/>
                <w:szCs w:val="32"/>
              </w:rPr>
              <w:t>В доме 8 квартир, из которых 5 - частной формы собственности, 3 – муниципальная собственность. (2 заселены по договору соцнайма, 1 – пустующая).</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i w:val="false"/>
                <w:iCs w:val="false"/>
                <w:sz w:val="32"/>
                <w:szCs w:val="32"/>
              </w:rPr>
              <w:t xml:space="preserve">Сроки расселения граждан, проживающих </w:t>
            </w:r>
            <w:r>
              <w:rPr>
                <w:rFonts w:cs="Times New Roman" w:ascii="Times New Roman" w:hAnsi="Times New Roman"/>
                <w:sz w:val="32"/>
                <w:szCs w:val="32"/>
              </w:rPr>
              <w:t>в аварийном доме, будут определены при формировании новой региональной программы переселения из аварийного жилищного фонда, признанного аварийным и подлежащим сносу после 01.01.2017.</w:t>
            </w:r>
          </w:p>
          <w:p>
            <w:pPr>
              <w:pStyle w:val="Normal"/>
              <w:spacing w:lineRule="auto" w:line="240" w:before="0" w:after="0"/>
              <w:jc w:val="both"/>
              <w:rPr/>
            </w:pPr>
            <w:r>
              <w:rPr>
                <w:rFonts w:cs="Times New Roman" w:ascii="Times New Roman" w:hAnsi="Times New Roman"/>
                <w:sz w:val="32"/>
                <w:szCs w:val="32"/>
              </w:rPr>
              <w:t>Граждане могут обратиться в администрацию муниципального района «Сыктывдинский» (отдел имущественных и земельных отношений, с.Выльгорт, ул.Д.Каликовой, д.62, каб. 6, тел. 8(82130)72400) с заявлением о предоставлении жилого помещения маневренного жилищного фонда, в целях проживания в нем до предоставления жилого помещения в рамках реализации принятой программы переселения.</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Пажга</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Будут ли переводить мазутную котельную на газ и когда?</w:t>
            </w:r>
          </w:p>
        </w:tc>
        <w:tc>
          <w:tcPr>
            <w:tcW w:w="7370" w:type="dxa"/>
            <w:tcBorders/>
            <w:shd w:fill="auto" w:val="clear"/>
            <w:tcMar>
              <w:left w:w="103" w:type="dxa"/>
            </w:tcMar>
          </w:tcPr>
          <w:p>
            <w:pPr>
              <w:pStyle w:val="Normal"/>
              <w:spacing w:lineRule="auto" w:line="240" w:before="0" w:after="0"/>
              <w:jc w:val="both"/>
              <w:rPr/>
            </w:pPr>
            <w:r>
              <w:rPr>
                <w:rFonts w:cs="Times New Roman" w:ascii="Times New Roman" w:hAnsi="Times New Roman"/>
                <w:sz w:val="32"/>
                <w:szCs w:val="32"/>
              </w:rPr>
              <w:t>Инвестиционной программой ООО "Сыктывдинская тепловая компания" на 2022-2027 гг. предусмотрено мероприятие по установке газовой блочно-модульной котельной в с. Пажга (срок 2023-2024 гг.)</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Пажга</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Какова дальнейшая судьба предприятия ООО «Пажга». </w:t>
            </w:r>
          </w:p>
        </w:tc>
        <w:tc>
          <w:tcPr>
            <w:tcW w:w="7370" w:type="dxa"/>
            <w:tcBorders/>
            <w:shd w:fill="auto" w:val="clear"/>
            <w:tcMar>
              <w:left w:w="103" w:type="dxa"/>
            </w:tcMar>
          </w:tcPr>
          <w:p>
            <w:pPr>
              <w:pStyle w:val="Normal"/>
              <w:spacing w:lineRule="auto" w:line="240" w:before="0" w:after="0"/>
              <w:jc w:val="both"/>
              <w:rPr/>
            </w:pPr>
            <w:r>
              <w:rPr>
                <w:rFonts w:cs="Times New Roman" w:ascii="Times New Roman" w:hAnsi="Times New Roman"/>
                <w:bCs/>
                <w:sz w:val="32"/>
                <w:szCs w:val="32"/>
              </w:rPr>
              <w:t xml:space="preserve">На сегодняшний день на территории села зарегистрировано и осуществляю деятельность 2 КФХ. К сожалению, для нас особенно для жителей села системообразующее предприятие ООО «Пажга» перестало осуществлять деятельность. Мы надеемся, что предприятие выйдет из сложившейся ситуации и в ближайшее время снова начнёт работать.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Пажга</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Какие планы по развитию сельского хозяйства на территории с. Пажга?</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 xml:space="preserve">Прежде, чем ответить на вопрос хотелось бы отметить, что на территории района зарегистрировано и осуществляют деятельность более 20 сельхозпредприятий и крестьянских (фермерских) хозяйств, а также около 300 семей ведут личное подсобное хозяйство. На территории района расположено самое крупное сельхозпредприятие Республики Коми АО «Птицефабрика Зеленецкая». </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Наш район является одним из лидеров в Республики Коми по объемам производимой сельскохозяйственной продукции, так по итогам 2022 года сельхозпредприятиями района произведено более 30 тыс. тон мяса из них: более 6 тыс. тонн мясо крупнорогатого скота, свинины.</w:t>
            </w:r>
          </w:p>
          <w:p>
            <w:pPr>
              <w:pStyle w:val="Normal"/>
              <w:spacing w:lineRule="auto" w:line="240" w:before="0" w:after="0"/>
              <w:jc w:val="both"/>
              <w:rPr/>
            </w:pPr>
            <w:r>
              <w:rPr>
                <w:rFonts w:cs="Times New Roman" w:ascii="Times New Roman" w:hAnsi="Times New Roman"/>
                <w:bCs/>
                <w:sz w:val="32"/>
                <w:szCs w:val="32"/>
              </w:rPr>
              <w:t>В хозяйства района содержаться около 1,5 тыс. голов КРС, в районе ежегодно производится более 34 тыс.тонн молока.</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Считаю, что село Пажга является перспективным районам для развития сельского хозяйства. На территории села есть возможность заниматься овощеводством: выращивать картофель, овощи; животноводством: развивать мясное и молочное направление, пчеловодством и другими видами сельскохозяйственной деятельности.</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 xml:space="preserve">Администрация района готова оказать содействие всем желающим открыть сельхозпроизводство в селе, предоставить финансовую и имущественную поддержку. </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 xml:space="preserve">На сегодняшний день имеются свободные земельные участки (более 150 га), свободное помещение (бывшее здание Пажгинского МТС). </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В рамках муниципальной программы «Развитие экономики» предприниматель может получить финансовую поддержку, а именно:</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 возместить часть затрат на приобретенное оборудование по договорам лизинга (максимальная сумма поддержки 1 млн. руб.);</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 возместить половину затрат (50%) на приобретённое оборудование (максимальная сумма поддержки 1,5 млн. руб.);</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 сельхоз предприниматели могут возместить половину затрат на приубранное оборудование или строительство сельскохозяйственных помещений (максимальная сумма поддержки 2 млн. руб.).</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На 2023 год в бюджете на данные мероприятия заложено 2,4 млн. руб.</w:t>
            </w:r>
          </w:p>
          <w:p>
            <w:pPr>
              <w:pStyle w:val="Normal"/>
              <w:spacing w:lineRule="auto" w:line="240" w:before="0" w:after="0"/>
              <w:jc w:val="both"/>
              <w:rPr>
                <w:rFonts w:ascii="Times New Roman" w:hAnsi="Times New Roman" w:cs="Times New Roman"/>
                <w:bCs/>
                <w:sz w:val="32"/>
                <w:szCs w:val="32"/>
              </w:rPr>
            </w:pPr>
            <w:r>
              <w:rPr>
                <w:rFonts w:cs="Times New Roman" w:ascii="Times New Roman" w:hAnsi="Times New Roman"/>
                <w:bCs/>
                <w:sz w:val="32"/>
                <w:szCs w:val="32"/>
              </w:rPr>
              <w:t>Также у предпринимателей есть возможность получить финансовую поддержку на реализацию проекта в сфере сельского хозяйства через «Народные проекты».</w:t>
            </w:r>
          </w:p>
          <w:p>
            <w:pPr>
              <w:pStyle w:val="Normal"/>
              <w:spacing w:lineRule="auto" w:line="240" w:before="0" w:after="0"/>
              <w:jc w:val="both"/>
              <w:rPr/>
            </w:pPr>
            <w:r>
              <w:rPr>
                <w:rFonts w:cs="Times New Roman" w:ascii="Times New Roman" w:hAnsi="Times New Roman"/>
                <w:bCs/>
                <w:sz w:val="32"/>
                <w:szCs w:val="32"/>
              </w:rPr>
              <w:t xml:space="preserve">Для получения более подробной информации о действующих мерах поддержки предприниматель может обратиться в отдел экономики.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с. Пажга</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 xml:space="preserve">Просим в содействии решения проведения косметического ремонта в первом подъезде дома «10 с. Пажга, которого не было с 1985 года. Жильцам квартир данного подъезда на свои средства и своими силами приходится ремонтировать, красить подъезд, т.к. на обращения управляющая компания не реагирует. А ведь за обслуживание МКД платим немалые деньги. </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Администрацией района по вопросу необходимости проведения работ по косметическому ремонту  подъездов многоквартирного дома № 10 ул. 1 микрорайон с.Пажга направлено в управляющую компанию ООО «Домсервис».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д. Шыладор</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Будет ли организовано транспортное сообщение от Слудки до деревень Прокопьевка, Ипатово и Шыладор? Жители данных деревень с отменой транспортного сообщения более 10 лет тому назад остались не выездными. А ведь иногда надо съездить в больницу, в магазины, на почту и т.д.</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bCs/>
                <w:sz w:val="32"/>
                <w:szCs w:val="32"/>
              </w:rPr>
              <w:t xml:space="preserve">Да в 2018 году Министерством </w:t>
            </w:r>
            <w:r>
              <w:rPr>
                <w:rFonts w:cs="Times New Roman" w:ascii="Times New Roman" w:hAnsi="Times New Roman"/>
                <w:sz w:val="32"/>
                <w:szCs w:val="32"/>
              </w:rPr>
              <w:t>инвестиции, промышленности и транспорта Республики Коми (на тот период времени) из-за низкого пассажиропотока и убыточности было принято решение о приостановке работа межмуниципального автобусного маршрута №722 «Сыктывкар – Шыладор», так как организации, осуществляющие пассажирские перевозки отказываются участвовать в аукционах для заключения контракта на осуществления пассажирских перевозок по указанному маршруту.</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Хочется отметить, что район никогда не имел собственных муниципальных маршрутов, перевозки пассажиров осуществлялись по межмуниципальным маршрутам, организацией работы которых занимается Министерство экономического развития и промышленности Республики Коми.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связи с указанным для открытия муниципального автобусного маршрута в-первую очередь необходимо разработать порядок организации маршрутов и утвердить предельные для района тарифы для определения стоимости проезда.</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Согласовать и утвердить схему движения автобусов по маршруту.</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Далее необходимо предусмотреть средства в бюджете и провести аукцион.</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На сегодняшний день проект порядка разработан и проходит стадию согласования.</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Комитет Республики Коми по тарифам направлено ходатайство о расчете предельного уровня тарифов.</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Также администрацией района в организации, осуществляющие пассажирские перевозки были направлены запросы какая стоимость контракта их устроить для организации внутреннего маршрута. Уже получен ответ от двух перевозчиков, из ответа которых понимаем, что для организации одного маршрута в бюджете надо будет предусмотреть около 6 млн. руб.</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Обещание по конкретной дате давать не буду, так как все указанные процедуры занимают немало времени.</w:t>
            </w:r>
          </w:p>
          <w:p>
            <w:pPr>
              <w:pStyle w:val="Normal"/>
              <w:spacing w:lineRule="auto" w:line="240" w:before="0" w:after="0"/>
              <w:jc w:val="both"/>
              <w:rPr/>
            </w:pPr>
            <w:r>
              <w:rPr>
                <w:rFonts w:cs="Times New Roman" w:ascii="Times New Roman" w:hAnsi="Times New Roman"/>
                <w:sz w:val="32"/>
                <w:szCs w:val="32"/>
              </w:rPr>
              <w:t xml:space="preserve">Кроме того, с целью обеспечения безопасности посадки (высадки) пассажиров. А также для удобства ожидания автобусов необходимо проработать вопрос по установки павильона.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п. Яснэг</w:t>
            </w:r>
          </w:p>
        </w:tc>
        <w:tc>
          <w:tcPr>
            <w:tcW w:w="4962" w:type="dxa"/>
            <w:tcBorders/>
            <w:shd w:fill="auto" w:val="clear"/>
            <w:tcMar>
              <w:left w:w="103" w:type="dxa"/>
            </w:tcMar>
          </w:tcPr>
          <w:p>
            <w:pPr>
              <w:pStyle w:val="Normal"/>
              <w:spacing w:lineRule="auto" w:line="240" w:before="0" w:after="0"/>
              <w:contextualSpacing/>
              <w:jc w:val="both"/>
              <w:rPr/>
            </w:pPr>
            <w:r>
              <w:rPr>
                <w:rFonts w:cs="Times New Roman" w:ascii="Times New Roman" w:hAnsi="Times New Roman"/>
                <w:sz w:val="32"/>
                <w:szCs w:val="32"/>
              </w:rPr>
              <w:t xml:space="preserve">С приведением дороги от понтонного моста до п. Яснэг в нормативное состояние будет ли и   разрешено движение маршрута 514 до п. Яснэг? </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Сегодня люди вынуждены добираться до поселка самостоятельно, так как конечный остановочный пункт межмуниципального маршрута № 514 «Сыктывкар – Волокул» «Паромная переправа».</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После ремонта дороги до поселка администрация района направила в адрес Министерство экономического развития и промышленности Республики Коми, уполномоченного органа по организации работы межмуниципальных автобусных маршрутов, ходатайство о продлении автобусного маршрута до п. Яснэг.</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На сегодняшний день ответа от Министерства в адрес администрации не поступал.</w:t>
            </w:r>
          </w:p>
          <w:p>
            <w:pPr>
              <w:pStyle w:val="Normal"/>
              <w:spacing w:lineRule="auto" w:line="240" w:before="0" w:after="0"/>
              <w:jc w:val="both"/>
              <w:rPr/>
            </w:pPr>
            <w:r>
              <w:rPr>
                <w:rFonts w:cs="Times New Roman" w:ascii="Times New Roman" w:hAnsi="Times New Roman"/>
                <w:sz w:val="32"/>
                <w:szCs w:val="32"/>
              </w:rPr>
              <w:t xml:space="preserve">Кроме того, по рекомендациям того же Министерства, администрацией района ведется работа по организации внутримуниципального маршрута «Выльгорт-Яснэг».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vAlign w:val="center"/>
          </w:tcPr>
          <w:p>
            <w:pPr>
              <w:pStyle w:val="Normal"/>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t>п. Нювчим</w:t>
            </w:r>
          </w:p>
        </w:tc>
        <w:tc>
          <w:tcPr>
            <w:tcW w:w="4962" w:type="dxa"/>
            <w:tcBorders/>
            <w:shd w:fill="auto" w:val="clear"/>
            <w:tcMar>
              <w:left w:w="103" w:type="dxa"/>
            </w:tcMar>
          </w:tcPr>
          <w:p>
            <w:pPr>
              <w:pStyle w:val="Normal"/>
              <w:spacing w:lineRule="auto" w:line="240" w:before="0" w:after="0"/>
              <w:contextualSpacing/>
              <w:jc w:val="both"/>
              <w:rPr>
                <w:rFonts w:ascii="Times New Roman" w:hAnsi="Times New Roman" w:cs="Times New Roman"/>
                <w:sz w:val="32"/>
                <w:szCs w:val="32"/>
              </w:rPr>
            </w:pPr>
            <w:r>
              <w:rPr>
                <w:rFonts w:cs="Times New Roman" w:ascii="Times New Roman" w:hAnsi="Times New Roman"/>
                <w:sz w:val="32"/>
                <w:szCs w:val="32"/>
              </w:rPr>
              <w:t>Как будет решаться вопрос с переселением из ветхого аварийного жилья в п. Нювчим?</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рамках республиканской адресной программы «Переселение граждан из аварийного жилищного фонда в 2019 – 2025 года</w:t>
            </w:r>
            <w:r>
              <w:rPr>
                <w:rFonts w:cs="Times New Roman" w:ascii="Times New Roman" w:hAnsi="Times New Roman"/>
                <w:i w:val="false"/>
                <w:iCs w:val="false"/>
                <w:sz w:val="32"/>
                <w:szCs w:val="32"/>
              </w:rPr>
              <w:t>х», утвержденной постановлением Правительства Республики Коми от 31 марта 2019 г. № 160, подлежат расселению 15 многоквартирных домов в п.Нювчим, признанных аварийными до 01.01.2017.</w:t>
            </w:r>
          </w:p>
          <w:p>
            <w:pPr>
              <w:pStyle w:val="Normal"/>
              <w:spacing w:lineRule="auto" w:line="240" w:before="0" w:after="0"/>
              <w:jc w:val="both"/>
              <w:rPr>
                <w:rFonts w:ascii="Times New Roman" w:hAnsi="Times New Roman" w:cs="Times New Roman"/>
                <w:i/>
                <w:i/>
                <w:iCs/>
                <w:sz w:val="32"/>
                <w:szCs w:val="32"/>
              </w:rPr>
            </w:pPr>
            <w:r>
              <w:rPr>
                <w:rFonts w:cs="Times New Roman" w:ascii="Times New Roman" w:hAnsi="Times New Roman"/>
                <w:i w:val="false"/>
                <w:iCs w:val="false"/>
                <w:sz w:val="32"/>
                <w:szCs w:val="32"/>
              </w:rPr>
              <w:t>3 дома расселены в этапе 2021 года реализации программы переселения.</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i w:val="false"/>
                <w:iCs w:val="false"/>
                <w:sz w:val="32"/>
                <w:szCs w:val="32"/>
              </w:rPr>
              <w:t>12 аварийных домов подле</w:t>
            </w:r>
            <w:r>
              <w:rPr>
                <w:rFonts w:cs="Times New Roman" w:ascii="Times New Roman" w:hAnsi="Times New Roman"/>
                <w:sz w:val="32"/>
                <w:szCs w:val="32"/>
              </w:rPr>
              <w:t>жат расселению в этапе 2023 года реализации программы переселения (срок реализации этапа до 30.09.2024).</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многоквартирных жилых домах есть жилые помещения, находящиеся в собственности граждан, так и жилые помещения муниципального жилого фонда.</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отношении жилых помещений, находящихся в собственности граждан в настоящее время администрацией района проводятся мероприятия по оценке жилых помещений, расположенных в аварийном доме</w:t>
            </w:r>
            <w:r>
              <w:rPr>
                <w:rFonts w:cs="Times New Roman" w:ascii="Times New Roman" w:hAnsi="Times New Roman"/>
                <w:i w:val="false"/>
                <w:iCs w:val="false"/>
                <w:sz w:val="32"/>
                <w:szCs w:val="32"/>
              </w:rPr>
              <w:t xml:space="preserve"> (договор на оценку заключен 13.03.2023). Результаты оценки планируется получить к 01.07.2023.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 результатам оценки собственникам жилых помещений будут направлены проекты соглашений об изъятии жилого помещения для муниципальных нужд.</w:t>
            </w:r>
          </w:p>
          <w:p>
            <w:pPr>
              <w:pStyle w:val="Normal"/>
              <w:spacing w:lineRule="auto" w:line="240" w:before="0" w:after="0"/>
              <w:jc w:val="both"/>
              <w:rPr/>
            </w:pPr>
            <w:r>
              <w:rPr>
                <w:rFonts w:cs="Times New Roman" w:ascii="Times New Roman" w:hAnsi="Times New Roman"/>
                <w:sz w:val="32"/>
                <w:szCs w:val="32"/>
              </w:rPr>
              <w:t>В целях расселения муниципальных квартир администрация в настоящее время проводит работу по определению места вселения: п. Нювчим или иной населенный пункт Сыктывдинского района, поскольку в п.Нювчим строительство многоквартирных домов в настоящее время не осуществляется, предложения на вторичном рынке жилья сильно ограничено. Затем будут проведены закупочные процедуры в соответствии с Федеральным законом 44-ФЗ.</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Когда закончится ремонт автомобильной дороги «Подъезд к д. Парчег», аварийные участки при подъезде к Зеленецким Альпам (поворот на м. Катыдпом) и при подъезде к д. Парчег?</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Автомобильная дорога «Подъезд к д. Парчег» (протяженность - 8,75 км.) обслуживается в рамках муниципального контракта на выполнение работ по содержанию автомобильных дорог района. В 2021 году, на автомобильной дороге выполнены работы по ремонту картами общей протяжённостью 2,313 км. Стоимость выполненных работ составила порядка 25.5 млн. руб., средства были выделены республиканским бюджетом.</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В 2022 году, в рамках муниципального контракта на содержание, на указанной автомобильной дороге были выполнены работы по ямочному ремонту общей площадью 722 м2, и ремонт «картами» протяженностью 290 м.  </w:t>
            </w:r>
          </w:p>
          <w:p>
            <w:pPr>
              <w:pStyle w:val="Normal"/>
              <w:spacing w:lineRule="auto" w:line="240" w:before="0" w:after="0"/>
              <w:jc w:val="both"/>
              <w:rPr/>
            </w:pPr>
            <w:r>
              <w:rPr>
                <w:rFonts w:cs="Times New Roman" w:ascii="Times New Roman" w:hAnsi="Times New Roman"/>
                <w:sz w:val="32"/>
                <w:szCs w:val="32"/>
              </w:rPr>
              <w:t xml:space="preserve">Работы по приведению дорожного покрытия в нормативное состояние автомобильной дороги «Подъезд к д. Парчег» продолжатся и в летний период 2023 года в рамках контракта на содержание. При выделении субсидии на ремонт автомобильных дорог, задействованных в маршрутах движения школьных автобусов, часть средств будет направлена на ремонт дороги в с. Зеленец.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Нет освещения дороги «Подъезд к д. Парчег» на участках в с. Зеленец от старой церкви до поворота на местечки Пыдыгрезд и Любимгрезд, также на остановочных комплексах в м. Пыдыгрезд, м. Ванегрезд, Зеленецкие Альпы, СОТ «Тулыс», поворот на ДООЛ «Гренада».</w:t>
            </w:r>
          </w:p>
        </w:tc>
        <w:tc>
          <w:tcPr>
            <w:tcW w:w="7370" w:type="dxa"/>
            <w:tcBorders/>
            <w:shd w:fill="auto" w:val="clear"/>
            <w:tcMar>
              <w:left w:w="103" w:type="dxa"/>
            </w:tcMar>
          </w:tcPr>
          <w:p>
            <w:pPr>
              <w:pStyle w:val="Normal"/>
              <w:spacing w:lineRule="auto" w:line="240" w:before="0" w:after="0"/>
              <w:jc w:val="both"/>
              <w:rPr/>
            </w:pPr>
            <w:r>
              <w:rPr>
                <w:rFonts w:cs="Times New Roman" w:ascii="Times New Roman" w:hAnsi="Times New Roman"/>
                <w:sz w:val="32"/>
                <w:szCs w:val="32"/>
              </w:rPr>
              <w:t>Работы по организации освещения включены в план работы УЖКХ администрации района. В виду ограниченности средств муниципального дорожного фонда, выполнить указанные работы в кратчайшие сроки не предоставляется возможным. На отдельных участках автомобильной дороги необходимо выполнить работы по строительству новой воздушной сети. Данные работы требуют значительного финансирования. При поступлении дополнительного финансирования, вопрос об организации освещения на участках автомобильной дороги «Подъезд к д. Парчег» будет рассмотрен дополнительно.</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Министр Минприроды РК Киселевич Екатерина озвучила, что организован подбор вариантов земельных участков под мусоросортировочную площадку.  В числе предложенных площадок попадает с. Зеленец. Будут ли общественные слушания проводиться   с местными жителями по выбору места под мусоросортировочную площадку? Где конкретно будет находиться данная площадка? Не скажется ли будущая мусоросортировочная площадка на экологию местных жителей, на их здоровье?</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части участка под размещение полигона ТКО в границах с/п «Зеленец», участок имеет вид разрешенного использования «Ритуальная деятельность», площадь 141 932 кв.м., кадастровый номер 11:04:0301001:1038. Удалённость от населённого пункта - Зеленец порядка 5,4 км, п. Кэччойяг - 3,9 км.</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ab/>
              <w:t xml:space="preserve">Администрация района не направляла в адрес Минприроды РК предложения по рассмотрению данного участка.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both"/>
              <w:rPr>
                <w:rFonts w:ascii="Times New Roman" w:hAnsi="Times New Roman" w:cs="Times New Roman"/>
                <w:sz w:val="32"/>
                <w:szCs w:val="32"/>
              </w:rPr>
            </w:pPr>
            <w:bookmarkStart w:id="0" w:name="_GoBack"/>
            <w:bookmarkStart w:id="1" w:name="_GoBack"/>
            <w:bookmarkEnd w:id="1"/>
            <w:r>
              <w:rPr>
                <w:rFonts w:cs="Times New Roman" w:ascii="Times New Roman" w:hAnsi="Times New Roman"/>
                <w:sz w:val="32"/>
                <w:szCs w:val="32"/>
              </w:rPr>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Просьба в содействии обустройства пешеходного тротуара вдоль дороги «Подъезд к д. Парчег» на участках в с. зеленец от МКД №10 по ул. Центральной до МКД №2 ул. Речной переулок.</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По вопросу обустройства тротуара вдоль автомобильной дороги «Подъезд к д. Парчег» от многоквартирного дома №10 по ул. Центральная с. Зеленец до многоквартирного дома №2 Речной переулок с. Зеленец,  сообщаем следующее.</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Техническим паспортом автомобильной дороги тротуары на участке от многоквартирного дома №10 по ул. Центральная с. Зеленец до многоквартирного дома № 2 Речной переулок с. Зеленец не предусмотрены.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Сложившаяся жилая застройка не позволяет обустроить тротуары (пешеходные дорожки) в соответствии с требованиями ГОСТ (ГОСТ Р 52766-2007 Дороги автомобильные общего пользования. Элементы обустройства. Общие Требования.), согласно пункту 4.5.1.7  ГОСТа Р 52766-2007 «Ширина одной полосы тротуара (пешеходной дорожки) с двумя полосами движения и более должна быть не менее 0,75 м. Минимальная ширина однополосной пешеходной дорожки должна быть не менее 1,0 м.</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Обустройство тротуаров (пешеходных дорожек) возможно выполнить только после  проведения комплексных мероприятий по реконструкции и капитальному ремонту автомобильной дороги.</w:t>
            </w:r>
          </w:p>
          <w:p>
            <w:pPr>
              <w:pStyle w:val="Normal"/>
              <w:spacing w:lineRule="auto" w:line="240" w:before="0" w:after="0"/>
              <w:jc w:val="both"/>
              <w:rPr/>
            </w:pPr>
            <w:r>
              <w:rPr>
                <w:rFonts w:cs="Times New Roman" w:ascii="Times New Roman" w:hAnsi="Times New Roman"/>
                <w:sz w:val="32"/>
                <w:szCs w:val="32"/>
              </w:rPr>
              <w:t>В связи с ограниченностью средств муниципального дорожного фонда выполнить комплекс вышеуказанных мероприятий по реконструкции и капитальному ремонту автомобильной дороги  в настоящее время не предоставляется возможным.</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Когда будут внесены изменения в генеральный план сельского поселения «Зеленец» и правила землепользования и застройки в части изменения зон жилых застроек?</w:t>
            </w:r>
          </w:p>
        </w:tc>
        <w:tc>
          <w:tcPr>
            <w:tcW w:w="7370" w:type="dxa"/>
            <w:tcBorders/>
            <w:shd w:fill="auto" w:val="clear"/>
            <w:tcMar>
              <w:left w:w="103" w:type="dxa"/>
            </w:tcMar>
          </w:tcPr>
          <w:p>
            <w:pPr>
              <w:pStyle w:val="Normal"/>
              <w:spacing w:lineRule="auto" w:line="240" w:before="0" w:after="0"/>
              <w:jc w:val="both"/>
              <w:rPr/>
            </w:pPr>
            <w:r>
              <w:rPr>
                <w:rFonts w:cs="Times New Roman" w:ascii="Times New Roman" w:hAnsi="Times New Roman"/>
                <w:sz w:val="32"/>
                <w:szCs w:val="32"/>
              </w:rPr>
              <w:t xml:space="preserve">Работа по внесению изменений в генеральный план СП «Зеленец в планах на 2023 год.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Какие планы по газификации населённых пунктов д. Чукачой, д. Парчег, д. Койтыбож?  Какие сроки и куда обращаться гражданам с заявками?</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Администрацией района в марте 2022 года на основании запроса АО «Газпром газораспределение Сыктывкар» «О проработке вопроса о включении в программу газификации негазифицированных населенных пунктов»  находящихся вблизи действующих сетей газораспределения,  направлены сведения о количестве индивидуальных домовладений и численности проживающих по населенным пунктам: д.Койтыбож, д.Парчег, д.Чукачой.</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Представленный список домовладений АО «Газпром газораспределение Сыктывкар» на 2023 год утвержден не был.</w:t>
            </w:r>
          </w:p>
          <w:p>
            <w:pPr>
              <w:pStyle w:val="Normal"/>
              <w:spacing w:lineRule="auto" w:line="240" w:before="0" w:after="0"/>
              <w:jc w:val="both"/>
              <w:rPr/>
            </w:pPr>
            <w:r>
              <w:rPr>
                <w:rFonts w:cs="Times New Roman" w:ascii="Times New Roman" w:hAnsi="Times New Roman"/>
                <w:sz w:val="32"/>
                <w:szCs w:val="32"/>
              </w:rPr>
              <w:t xml:space="preserve">По информации АО «Газпром газораспределение Сыктывкар» включение населенных пунктов в программу газификации будет рассмотрено повторно при актуализации программы газификации в 3 квартале 2023 года.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с. Зеленец</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Какие планы по обеспечению связью населённых пунктов, а именно высокоскоростным интернетом? Очень плохой сигнал в д. Койтыбож, д. Чукачой, д. Парчег.</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На сегодняшний день единственным способом улучшения качества услуг связи и Интернета в указанных населенных пунктах является участие федеральной программе по подключению малых населённых пунктов к мобильному интернету.</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Для этого необходимо жителям населенных пунктов принять активное участие в голосовании для включения их в план-график подключений населённых пунктов к сети Интернет на 2024 год в рамках реализации мероприятия по оказанию универсальных услуг связи гражданам, проживающим на территории населённых пунктов с численностью населения от 100 до 500 (включительно) человек.</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Минцифры России ежегодно осенью проводит данное голосование.</w:t>
            </w:r>
          </w:p>
          <w:p>
            <w:pPr>
              <w:pStyle w:val="Normal"/>
              <w:spacing w:lineRule="auto" w:line="240" w:before="0" w:after="0"/>
              <w:jc w:val="both"/>
              <w:rPr/>
            </w:pPr>
            <w:r>
              <w:rPr>
                <w:rFonts w:cs="Times New Roman" w:ascii="Times New Roman" w:hAnsi="Times New Roman"/>
                <w:sz w:val="32"/>
                <w:szCs w:val="32"/>
              </w:rPr>
              <w:t xml:space="preserve">Что касается улучшение качества услуг связи сегодня, гражданам необходимо самостоятельно обратиться оператору связи, услугами которого они пользуются с заявлением о возможности увеличения скорости Интернета на территории указанных населенных пунктов.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п. Мандач</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Будет ли осуществлён ремонт 14км. проблемного участка дороги из 25 км. «Койты- Мандач»?</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Автомобильная дорога «Койты-Мандач» обслуживается в рамках муниципального контракта на содержание автомобильных дорог. Ежегодно на указанной автомобильной дороге проводятся работы по грейдированию дорожного полотна с добавлением материала (ПГС).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Управлением ЖКХ администрации района объем необходимого финансирования на выполнения работ по ремонту автомобильной дороги. Общая потребность в финансировании составляет порядка 64 млн. руб. </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На отчетную дату, выполнить работы по ремонту автомобильной дороги не предоставляется возможным, ввиду ограниченности средств муниципального дорожного фонда. </w:t>
            </w:r>
          </w:p>
          <w:p>
            <w:pPr>
              <w:pStyle w:val="Normal"/>
              <w:spacing w:lineRule="auto" w:line="240" w:before="0" w:after="0"/>
              <w:jc w:val="both"/>
              <w:rPr/>
            </w:pPr>
            <w:r>
              <w:rPr>
                <w:rFonts w:cs="Times New Roman" w:ascii="Times New Roman" w:hAnsi="Times New Roman"/>
                <w:sz w:val="32"/>
                <w:szCs w:val="32"/>
              </w:rPr>
              <w:t xml:space="preserve">Также сообщаем, что администрацией района рассматривается возможность выполнения работ поэтапно, в рамках имеющихся средств.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sz w:val="32"/>
                <w:szCs w:val="32"/>
              </w:rPr>
            </w:pPr>
            <w:r>
              <w:rPr>
                <w:rFonts w:cs="Times New Roman" w:ascii="Times New Roman" w:hAnsi="Times New Roman"/>
                <w:sz w:val="32"/>
                <w:szCs w:val="32"/>
              </w:rPr>
              <w:t>п. Мандач</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 виду того, что п. Мандач мало начисленный (проживает около 100 человек), упорно идут обсуждения в слуховой среде, что выбор земельного участка для размещения мусоросортировочной площадки будет именно в районе п. Мандач. Что ожидать жителям посёлка? И на сколько слухи достоверны?</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Вблизи п. Мандач ранее был учтён в ГКУ земельный участок с кадастровым номером 11:04:0401001:1645 (снят с учёта 1 сентября 2022 г. в связи с отсутствием зарегистрированных прав (участок имел статус «временный»). В 5,5 км расположены дачные и садовые участки Эжвинского района, п. Мандач находится на удалении порядка 21 км.</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Данный участок формировался в целях размещения объекта «Обустройство 1-й и 2-й очереди полигона твёрдых бытовых отходов Мандач».</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 xml:space="preserve">В целях строительства объекта была разработана проектная документация (имеется заключение экологической экспертизы), проведены общественные обсуждения (в 2013 г.). </w:t>
            </w:r>
          </w:p>
          <w:p>
            <w:pPr>
              <w:pStyle w:val="Normal"/>
              <w:spacing w:lineRule="auto" w:line="240" w:before="0" w:after="0"/>
              <w:jc w:val="both"/>
              <w:rPr/>
            </w:pPr>
            <w:r>
              <w:rPr>
                <w:rFonts w:cs="Times New Roman" w:ascii="Times New Roman" w:hAnsi="Times New Roman"/>
                <w:sz w:val="32"/>
                <w:szCs w:val="32"/>
              </w:rPr>
              <w:t xml:space="preserve">Участок был полностью подготовлен для реализации строительно-монтажных работ, предусмотренных проектом. </w:t>
            </w:r>
          </w:p>
        </w:tc>
      </w:tr>
      <w:tr>
        <w:trPr/>
        <w:tc>
          <w:tcPr>
            <w:tcW w:w="959" w:type="dxa"/>
            <w:tcBorders/>
            <w:shd w:fill="auto" w:val="clear"/>
            <w:tcMar>
              <w:left w:w="103" w:type="dxa"/>
            </w:tcMar>
          </w:tcPr>
          <w:p>
            <w:pPr>
              <w:pStyle w:val="ListParagraph"/>
              <w:numPr>
                <w:ilvl w:val="0"/>
                <w:numId w:val="1"/>
              </w:numPr>
              <w:spacing w:lineRule="auto" w:line="240" w:before="0" w:after="0"/>
              <w:contextualSpacing/>
              <w:jc w:val="center"/>
              <w:rPr>
                <w:rFonts w:ascii="Times New Roman" w:hAnsi="Times New Roman" w:cs="Times New Roman"/>
                <w:sz w:val="32"/>
                <w:szCs w:val="32"/>
              </w:rPr>
            </w:pPr>
            <w:r>
              <w:rPr>
                <w:rFonts w:cs="Times New Roman" w:ascii="Times New Roman" w:hAnsi="Times New Roman"/>
                <w:sz w:val="32"/>
                <w:szCs w:val="32"/>
              </w:rPr>
            </w:r>
          </w:p>
        </w:tc>
        <w:tc>
          <w:tcPr>
            <w:tcW w:w="1984" w:type="dxa"/>
            <w:tcBorders/>
            <w:shd w:fill="auto" w:val="clear"/>
            <w:tcMar>
              <w:left w:w="103" w:type="dxa"/>
            </w:tcMar>
          </w:tcPr>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д. Малая Слуда</w:t>
            </w:r>
          </w:p>
        </w:tc>
        <w:tc>
          <w:tcPr>
            <w:tcW w:w="4962"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Прошу в содействии решения вопроса по факту отсутствия пешеходных дорожек на федеральной трассе Сыктывкар-Ухта (44 км.) в границах пункта д. Малая Слуда с. Часово Сыктывдинского района. В связи с интенсивным потоком транспортных средств, отсутствием пешеходных дорожек возникает угроза ДТП при переходе людей  в магазин, которая находится на другой стороне дороги.</w:t>
            </w:r>
          </w:p>
        </w:tc>
        <w:tc>
          <w:tcPr>
            <w:tcW w:w="7370" w:type="dxa"/>
            <w:tcBorders/>
            <w:shd w:fill="auto" w:val="clear"/>
            <w:tcMar>
              <w:left w:w="103" w:type="dxa"/>
            </w:tcMar>
          </w:tcPr>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Автомобильная дорога "Сыктывкар - Ухта - Печера -Усинск - Нарьян-Мар" является автомобильной дорогой республиканского значения, обслуживается Управлением республиканских автомобильных дорог.</w:t>
            </w:r>
          </w:p>
          <w:p>
            <w:pPr>
              <w:pStyle w:val="Normal"/>
              <w:spacing w:lineRule="auto" w:line="240" w:before="0" w:after="0"/>
              <w:jc w:val="both"/>
              <w:rPr>
                <w:rFonts w:ascii="Times New Roman" w:hAnsi="Times New Roman" w:cs="Times New Roman"/>
                <w:sz w:val="32"/>
                <w:szCs w:val="32"/>
              </w:rPr>
            </w:pPr>
            <w:r>
              <w:rPr>
                <w:rFonts w:cs="Times New Roman" w:ascii="Times New Roman" w:hAnsi="Times New Roman"/>
                <w:sz w:val="32"/>
                <w:szCs w:val="32"/>
              </w:rPr>
              <w:t>Обустройство пешеходных дорожек - полномочия Управтодор Коми.</w:t>
            </w:r>
          </w:p>
          <w:p>
            <w:pPr>
              <w:pStyle w:val="Normal"/>
              <w:spacing w:lineRule="auto" w:line="240" w:before="0" w:after="0"/>
              <w:jc w:val="both"/>
              <w:rPr/>
            </w:pPr>
            <w:r>
              <w:rPr>
                <w:rFonts w:cs="Times New Roman" w:ascii="Times New Roman" w:hAnsi="Times New Roman"/>
                <w:sz w:val="32"/>
                <w:szCs w:val="32"/>
              </w:rPr>
              <w:t> </w:t>
            </w:r>
            <w:r>
              <w:rPr>
                <w:rFonts w:cs="Times New Roman" w:ascii="Times New Roman" w:hAnsi="Times New Roman"/>
                <w:sz w:val="32"/>
                <w:szCs w:val="32"/>
              </w:rPr>
              <w:t>Администрация района направит письменное ходатайство в адрес Управления республиканскими автомобильными дорогами о рассмотрении вопроса по обустройству пешеходных дорожек на участке 44 км. автомобильной дороги общего пользования республиканского значения "Сыктывкар - Ухта - Печера -Усинск - Нарьян-Мар" вблизи населенных пунктов Малая Слуда - Часово.</w:t>
            </w:r>
          </w:p>
        </w:tc>
      </w:tr>
    </w:tbl>
    <w:p>
      <w:pPr>
        <w:pStyle w:val="Normal"/>
        <w:spacing w:before="0" w:after="200"/>
        <w:jc w:val="center"/>
        <w:rPr/>
      </w:pPr>
      <w:r>
        <w:rPr/>
      </w:r>
    </w:p>
    <w:sectPr>
      <w:type w:val="nextPage"/>
      <w:pgSz w:orient="landscape" w:w="16838" w:h="11906"/>
      <w:pgMar w:left="1134" w:right="1134" w:header="0" w:top="850" w:footer="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e5498a"/>
    <w:pPr>
      <w:spacing w:before="0" w:after="200"/>
      <w:ind w:left="720" w:hanging="0"/>
      <w:contextualSpacing/>
    </w:pPr>
    <w:rPr/>
  </w:style>
  <w:style w:type="paragraph" w:styleId="Style19">
    <w:name w:val="Содержимое таблицы"/>
    <w:basedOn w:val="Normal"/>
    <w:qFormat/>
    <w:pPr/>
    <w:rPr/>
  </w:style>
  <w:style w:type="paragraph" w:styleId="Style20">
    <w:name w:val="Заголовок таблицы"/>
    <w:basedOn w:val="Style19"/>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e5498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Application>LibreOffice/5.3.3.2$Windows_X86_64 LibreOffice_project/3d9a8b4b4e538a85e0782bd6c2d430bafe583448</Application>
  <Pages>6</Pages>
  <Words>4062</Words>
  <Characters>27984</Characters>
  <CharactersWithSpaces>32045</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2023-03-27T08:41:00Z</dcterms:created>
  <dc:creator>Puser</dc:creator>
  <dc:description/>
  <dc:language>ru-RU</dc:language>
  <cp:lastModifiedBy/>
  <dcterms:modified xsi:type="dcterms:W3CDTF">2023-04-12T17:10:07Z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