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9B" w:rsidRDefault="00082154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муниципального района «Сыктывдинский»</w:t>
      </w:r>
    </w:p>
    <w:p w:rsidR="00C5099B" w:rsidRDefault="00082154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Коми</w:t>
      </w:r>
    </w:p>
    <w:p w:rsidR="00C5099B" w:rsidRDefault="00C5099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C5099B" w:rsidRDefault="00C5099B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C5099B" w:rsidRDefault="00C5099B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C5099B" w:rsidRDefault="00082154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52"/>
          <w:szCs w:val="52"/>
        </w:rPr>
        <w:t>ГОДОВОЙ ОТЧЕТ</w:t>
      </w:r>
      <w:r>
        <w:rPr>
          <w:b/>
          <w:sz w:val="44"/>
          <w:szCs w:val="44"/>
        </w:rPr>
        <w:t xml:space="preserve"> </w:t>
      </w:r>
    </w:p>
    <w:p w:rsidR="00C5099B" w:rsidRDefault="00C5099B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C5099B" w:rsidRDefault="00082154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реализации муниципальной программы</w:t>
      </w:r>
    </w:p>
    <w:p w:rsidR="00C5099B" w:rsidRDefault="00082154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>муниципального района «Сыктывдинский» Республики Коми</w:t>
      </w:r>
    </w:p>
    <w:p w:rsidR="00C5099B" w:rsidRDefault="00082154">
      <w:pPr>
        <w:autoSpaceDE w:val="0"/>
        <w:autoSpaceDN w:val="0"/>
        <w:adjustRightInd w:val="0"/>
        <w:ind w:firstLine="540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«Развитие управления </w:t>
      </w:r>
    </w:p>
    <w:p w:rsidR="00C5099B" w:rsidRDefault="00082154">
      <w:pPr>
        <w:autoSpaceDE w:val="0"/>
        <w:autoSpaceDN w:val="0"/>
        <w:adjustRightInd w:val="0"/>
        <w:ind w:firstLine="540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муниципальным имуществом»</w:t>
      </w:r>
    </w:p>
    <w:p w:rsidR="00C5099B" w:rsidRDefault="00C5099B">
      <w:pPr>
        <w:autoSpaceDE w:val="0"/>
        <w:autoSpaceDN w:val="0"/>
        <w:adjustRightInd w:val="0"/>
        <w:ind w:firstLine="540"/>
        <w:jc w:val="center"/>
        <w:rPr>
          <w:b/>
          <w:sz w:val="46"/>
          <w:szCs w:val="46"/>
        </w:rPr>
      </w:pPr>
    </w:p>
    <w:p w:rsidR="00C5099B" w:rsidRDefault="00082154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44"/>
          <w:szCs w:val="44"/>
        </w:rPr>
      </w:pPr>
      <w:r>
        <w:rPr>
          <w:b/>
          <w:sz w:val="48"/>
          <w:szCs w:val="48"/>
        </w:rPr>
        <w:t>за 2024 года</w:t>
      </w:r>
    </w:p>
    <w:p w:rsidR="00C5099B" w:rsidRDefault="00C5099B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:rsidR="00C5099B" w:rsidRDefault="00C5099B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C5099B" w:rsidRDefault="00C5099B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C5099B" w:rsidRDefault="00C5099B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Ответственные исполнители</w:t>
      </w:r>
      <w:r>
        <w:rPr>
          <w:sz w:val="22"/>
          <w:szCs w:val="22"/>
        </w:rPr>
        <w:t xml:space="preserve">: </w:t>
      </w: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Римских Елена Владимировна, начальник отдела имущественных и арендных отношений администрации МР «Сыктывдинский», тел. 8/82130/7-24-00,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 – e.v.rimskih@syktyvdin.rkomi.ru;</w:t>
      </w: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- Большакова Татьяна Ивановна, начальник отдела земельных отношений администрации МР «Сыктывдинский», тел. 8/82130/7-14-50, </w:t>
      </w:r>
      <w:r>
        <w:rPr>
          <w:color w:val="000000" w:themeColor="text1"/>
          <w:sz w:val="22"/>
          <w:szCs w:val="22"/>
          <w:lang w:val="en-US"/>
        </w:rPr>
        <w:t>E</w:t>
      </w: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  <w:lang w:val="en-US"/>
        </w:rPr>
        <w:t>mail</w:t>
      </w:r>
      <w:r>
        <w:rPr>
          <w:color w:val="000000" w:themeColor="text1"/>
          <w:sz w:val="22"/>
          <w:szCs w:val="22"/>
        </w:rPr>
        <w:t xml:space="preserve">: – </w:t>
      </w:r>
      <w:r>
        <w:rPr>
          <w:sz w:val="22"/>
          <w:szCs w:val="22"/>
        </w:rPr>
        <w:t>t.i.bolshakova@syktyvdin.rkomi.ru</w:t>
      </w:r>
      <w:r>
        <w:rPr>
          <w:color w:val="000000" w:themeColor="text1"/>
          <w:sz w:val="22"/>
          <w:szCs w:val="22"/>
        </w:rPr>
        <w:t>.</w:t>
      </w:r>
    </w:p>
    <w:p w:rsidR="00C5099B" w:rsidRDefault="00C5099B">
      <w:pPr>
        <w:rPr>
          <w:sz w:val="22"/>
          <w:szCs w:val="22"/>
        </w:rPr>
      </w:pPr>
    </w:p>
    <w:p w:rsidR="00C5099B" w:rsidRDefault="00C5099B">
      <w:pPr>
        <w:ind w:right="-58"/>
        <w:rPr>
          <w:color w:val="000000"/>
          <w:sz w:val="22"/>
          <w:szCs w:val="22"/>
        </w:rPr>
      </w:pP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Отчетный год составления годового отчета</w:t>
      </w:r>
      <w:r>
        <w:rPr>
          <w:color w:val="000000"/>
          <w:sz w:val="22"/>
          <w:szCs w:val="22"/>
        </w:rPr>
        <w:t xml:space="preserve"> – 2024 год</w:t>
      </w:r>
    </w:p>
    <w:p w:rsidR="00C5099B" w:rsidRDefault="00C5099B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C5099B" w:rsidRDefault="00C5099B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Дата составления годового отчета</w:t>
      </w:r>
      <w:r>
        <w:rPr>
          <w:color w:val="000000"/>
          <w:sz w:val="22"/>
          <w:szCs w:val="22"/>
        </w:rPr>
        <w:t xml:space="preserve"> – 13.03.2025 г.;</w:t>
      </w:r>
    </w:p>
    <w:p w:rsidR="00C5099B" w:rsidRDefault="00C5099B">
      <w:pPr>
        <w:ind w:right="-58"/>
        <w:jc w:val="both"/>
        <w:rPr>
          <w:sz w:val="22"/>
          <w:szCs w:val="22"/>
          <w:u w:val="single"/>
        </w:rPr>
      </w:pPr>
    </w:p>
    <w:p w:rsidR="00C5099B" w:rsidRDefault="00C5099B">
      <w:pPr>
        <w:ind w:right="-58" w:firstLine="567"/>
        <w:jc w:val="both"/>
        <w:rPr>
          <w:sz w:val="22"/>
          <w:szCs w:val="22"/>
          <w:u w:val="single"/>
        </w:rPr>
      </w:pP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Непосредственные исполнители:</w:t>
      </w:r>
      <w:r>
        <w:rPr>
          <w:sz w:val="22"/>
          <w:szCs w:val="22"/>
        </w:rPr>
        <w:t xml:space="preserve"> </w:t>
      </w: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Римских Елена Владимировна, начальник отдела имущественных и арендных отношений администрации МР «Сыктывдинский», тел. 8/82130/7-24-00,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 – e.v.rimskih@syktyvdin.rkomi.ru;</w:t>
      </w: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- Большакова Татьяна Ивановна, начальник отдела земельных отношений администрации МР «Сыктывдинский», тел. 8/82130/7-14-50, </w:t>
      </w:r>
      <w:r>
        <w:rPr>
          <w:color w:val="000000" w:themeColor="text1"/>
          <w:sz w:val="22"/>
          <w:szCs w:val="22"/>
          <w:lang w:val="en-US"/>
        </w:rPr>
        <w:t>E</w:t>
      </w: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  <w:lang w:val="en-US"/>
        </w:rPr>
        <w:t>mail</w:t>
      </w:r>
      <w:r>
        <w:rPr>
          <w:color w:val="000000" w:themeColor="text1"/>
          <w:sz w:val="22"/>
          <w:szCs w:val="22"/>
        </w:rPr>
        <w:t xml:space="preserve">: – </w:t>
      </w:r>
      <w:r>
        <w:rPr>
          <w:sz w:val="22"/>
          <w:szCs w:val="22"/>
        </w:rPr>
        <w:t>t.i.bolshakova@syktyvdin.rkomi.ru</w:t>
      </w:r>
      <w:r>
        <w:rPr>
          <w:color w:val="000000" w:themeColor="text1"/>
          <w:sz w:val="22"/>
          <w:szCs w:val="22"/>
        </w:rPr>
        <w:t>.</w:t>
      </w:r>
    </w:p>
    <w:p w:rsidR="00C5099B" w:rsidRDefault="00C5099B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C5099B" w:rsidRDefault="00C5099B">
      <w:pPr>
        <w:ind w:right="-58"/>
        <w:rPr>
          <w:color w:val="000000"/>
          <w:sz w:val="22"/>
          <w:szCs w:val="22"/>
        </w:rPr>
      </w:pPr>
    </w:p>
    <w:p w:rsidR="00C5099B" w:rsidRDefault="00C5099B">
      <w:pPr>
        <w:ind w:right="-58"/>
        <w:jc w:val="center"/>
        <w:rPr>
          <w:color w:val="000000"/>
          <w:sz w:val="22"/>
          <w:szCs w:val="22"/>
        </w:rPr>
      </w:pPr>
    </w:p>
    <w:p w:rsidR="00C5099B" w:rsidRDefault="00C5099B">
      <w:pPr>
        <w:ind w:right="-58"/>
        <w:jc w:val="center"/>
        <w:rPr>
          <w:color w:val="000000"/>
          <w:sz w:val="22"/>
          <w:szCs w:val="22"/>
        </w:rPr>
      </w:pPr>
    </w:p>
    <w:p w:rsidR="00C5099B" w:rsidRDefault="00C5099B">
      <w:pPr>
        <w:ind w:right="-58"/>
        <w:jc w:val="center"/>
        <w:rPr>
          <w:color w:val="000000"/>
          <w:sz w:val="22"/>
          <w:szCs w:val="22"/>
        </w:rPr>
      </w:pPr>
    </w:p>
    <w:p w:rsidR="00C5099B" w:rsidRDefault="00082154">
      <w:pPr>
        <w:ind w:right="-58"/>
        <w:jc w:val="center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</w:rPr>
        <w:t>Выльгорт</w:t>
      </w:r>
      <w:r>
        <w:rPr>
          <w:color w:val="000000"/>
          <w:sz w:val="22"/>
          <w:szCs w:val="22"/>
          <w:lang w:val="en-US"/>
        </w:rPr>
        <w:t xml:space="preserve"> </w:t>
      </w:r>
    </w:p>
    <w:p w:rsidR="00C5099B" w:rsidRDefault="00082154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C5099B" w:rsidRDefault="00C5099B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Hlk17188236"/>
      <w:r>
        <w:rPr>
          <w:sz w:val="24"/>
          <w:szCs w:val="24"/>
        </w:rPr>
        <w:t>Муниципальная программа муниципального района «Сыктывдинский» Республики Коми «Развитие управления муниципальным имуществом» (далее – муниципальная программа) утверждена постановлением администрации муниципального района «Сыктывдинский» Республики Коми от 29 июля 2022 года № 7/967 (в ред. постановления от 20.10.2022 №10/1465; от 30.01.2023 №1/94; от 21.12.2023 №12/2009; от 01.03.2024 №3/251, от 28.12.2024 №12/1853, от 28.12.2024 № 12/1855)</w:t>
      </w: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муниципального района «Сыктывдинский» Республики Коми «Развитие управления муниципальным имуществом» (далее- Комплексный план), который утвержден на 2024 год постановлением администрации муниципального района «Сыктывдинский» Республики Коми от 1 марта 2024 года № 3/252.</w:t>
      </w: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Главной целью муниципальной программы является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«Сыктывдинский», в том числе землями, земельными участками, государственная собственность на которые не разграничена. Основная цель и задачи муниципальной программы соответствуют приоритетам политики в сфере управления муниципальным имуществом муниципального района.</w:t>
      </w: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цели в 2024 решались следующие задачи:</w:t>
      </w:r>
    </w:p>
    <w:p w:rsidR="00C5099B" w:rsidRDefault="00082154" w:rsidP="0008215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Chars="295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государственной регистрации права собственности муниципального района «Сыктывдинский» в отношении муниципального имущества;</w:t>
      </w:r>
    </w:p>
    <w:p w:rsidR="00C5099B" w:rsidRDefault="00082154" w:rsidP="0008215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Chars="295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оптимизация структуры муниципального имущества муниципального района "Сыктывдинский";</w:t>
      </w:r>
    </w:p>
    <w:p w:rsidR="00C5099B" w:rsidRDefault="00082154" w:rsidP="0008215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Chars="295"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муниципального имущества муниципального района "Сыктывдинский" в экономический оборот, в том числе земель и земельных участков, государственная собственность на которые не разграничена, в силу прямого указания закона;</w:t>
      </w:r>
    </w:p>
    <w:p w:rsidR="00C5099B" w:rsidRDefault="00082154" w:rsidP="0008215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Chars="295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планово-картографической основы для единого учета земельных участков;</w:t>
      </w:r>
    </w:p>
    <w:p w:rsidR="00C5099B" w:rsidRDefault="00082154" w:rsidP="0008215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Chars="295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</w: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программой обеспечена взаимосвязь задач и целевых индикаторов (показателей) каждой подпрограммы. Каждой задаче муниципальной программы соответствуют свои целевые индикаторы (показатели), всего по муниципальной программе 8 индикаторов (показателей). </w:t>
      </w: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:rsidR="00C5099B" w:rsidRDefault="000821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индикаторы (показатели) муниципальной программы, предусмотренные на отчетный год, соответствуют плановым значениям целевых индикаторов (показателей) Стратегии социально-экономического развития муниципального образования муниципального района «Сыктывдинский» на период до 2035 года. </w:t>
      </w:r>
    </w:p>
    <w:p w:rsidR="00C5099B" w:rsidRDefault="00082154">
      <w:pPr>
        <w:ind w:firstLine="567"/>
        <w:jc w:val="both"/>
        <w:rPr>
          <w:sz w:val="24"/>
          <w:szCs w:val="24"/>
        </w:rPr>
      </w:pPr>
      <w:bookmarkStart w:id="1" w:name="_Hlk17188422"/>
      <w:bookmarkEnd w:id="0"/>
      <w:r>
        <w:rPr>
          <w:sz w:val="24"/>
          <w:szCs w:val="24"/>
        </w:rPr>
        <w:t>В 2024 году в постановление об утверждении муниципальной программы внесено 3 изменения следующими постановлениям</w:t>
      </w:r>
      <w:bookmarkEnd w:id="1"/>
      <w:r>
        <w:rPr>
          <w:sz w:val="24"/>
          <w:szCs w:val="24"/>
        </w:rPr>
        <w:t>и, представленными в таблице 1.</w:t>
      </w:r>
    </w:p>
    <w:p w:rsidR="00C5099B" w:rsidRDefault="00C5099B">
      <w:pPr>
        <w:ind w:firstLine="567"/>
        <w:jc w:val="both"/>
        <w:rPr>
          <w:sz w:val="24"/>
          <w:szCs w:val="24"/>
        </w:rPr>
      </w:pPr>
    </w:p>
    <w:p w:rsidR="00C5099B" w:rsidRDefault="00C5099B">
      <w:pPr>
        <w:ind w:firstLine="567"/>
        <w:jc w:val="both"/>
        <w:rPr>
          <w:sz w:val="24"/>
          <w:szCs w:val="24"/>
        </w:rPr>
      </w:pPr>
    </w:p>
    <w:p w:rsidR="00C5099B" w:rsidRDefault="00C5099B">
      <w:pPr>
        <w:ind w:firstLine="567"/>
        <w:jc w:val="both"/>
        <w:rPr>
          <w:sz w:val="24"/>
          <w:szCs w:val="24"/>
        </w:rPr>
      </w:pPr>
    </w:p>
    <w:p w:rsidR="00C5099B" w:rsidRDefault="00C5099B">
      <w:pPr>
        <w:ind w:firstLine="567"/>
        <w:jc w:val="both"/>
        <w:rPr>
          <w:sz w:val="24"/>
          <w:szCs w:val="24"/>
        </w:rPr>
      </w:pPr>
    </w:p>
    <w:p w:rsidR="00C5099B" w:rsidRDefault="00C5099B">
      <w:pPr>
        <w:ind w:firstLine="567"/>
        <w:jc w:val="both"/>
        <w:rPr>
          <w:sz w:val="24"/>
          <w:szCs w:val="24"/>
        </w:rPr>
      </w:pPr>
    </w:p>
    <w:p w:rsidR="00C5099B" w:rsidRDefault="00082154">
      <w:pPr>
        <w:pStyle w:val="ab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445"/>
        <w:gridCol w:w="3241"/>
        <w:gridCol w:w="5670"/>
      </w:tblGrid>
      <w:tr w:rsidR="00C5099B">
        <w:tc>
          <w:tcPr>
            <w:tcW w:w="445" w:type="dxa"/>
          </w:tcPr>
          <w:p w:rsidR="00C5099B" w:rsidRDefault="0008215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1" w:type="dxa"/>
          </w:tcPr>
          <w:p w:rsidR="00C5099B" w:rsidRDefault="0008215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5670" w:type="dxa"/>
          </w:tcPr>
          <w:p w:rsidR="00C5099B" w:rsidRDefault="0008215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C5099B">
        <w:trPr>
          <w:trHeight w:val="1227"/>
        </w:trPr>
        <w:tc>
          <w:tcPr>
            <w:tcW w:w="445" w:type="dxa"/>
          </w:tcPr>
          <w:p w:rsidR="00C5099B" w:rsidRDefault="0008215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1" w:type="dxa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01.03.2024 №3/251</w:t>
            </w:r>
          </w:p>
        </w:tc>
        <w:tc>
          <w:tcPr>
            <w:tcW w:w="5670" w:type="dxa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ресурсного обеспечения муниципальной программы в соответствие с бюджетом муниципального района на 2023-2027 годы</w:t>
            </w:r>
          </w:p>
        </w:tc>
      </w:tr>
      <w:tr w:rsidR="00C5099B">
        <w:trPr>
          <w:trHeight w:val="1227"/>
        </w:trPr>
        <w:tc>
          <w:tcPr>
            <w:tcW w:w="445" w:type="dxa"/>
          </w:tcPr>
          <w:p w:rsidR="00C5099B" w:rsidRDefault="0008215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188488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1" w:type="dxa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28.12.2024 №12/1853</w:t>
            </w:r>
          </w:p>
        </w:tc>
        <w:tc>
          <w:tcPr>
            <w:tcW w:w="5670" w:type="dxa"/>
          </w:tcPr>
          <w:p w:rsidR="00C5099B" w:rsidRDefault="0008215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связи с изменениями целевых индикаторов  Приведение в соответствие ресурсного обеспечения муниципальной программы с бюджетом, приведение индикаторов в соответствие с соглашениями</w:t>
            </w:r>
          </w:p>
        </w:tc>
      </w:tr>
      <w:tr w:rsidR="00C5099B">
        <w:trPr>
          <w:trHeight w:val="1227"/>
        </w:trPr>
        <w:tc>
          <w:tcPr>
            <w:tcW w:w="445" w:type="dxa"/>
          </w:tcPr>
          <w:p w:rsidR="00C5099B" w:rsidRDefault="0008215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1" w:type="dxa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28.12.2024 № 12/1855</w:t>
            </w:r>
          </w:p>
        </w:tc>
        <w:tc>
          <w:tcPr>
            <w:tcW w:w="5670" w:type="dxa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ресурсного обеспечения муниципальной программы в соответствие с бюджетом муниципального района на 2023-2027 годы</w:t>
            </w:r>
          </w:p>
        </w:tc>
      </w:tr>
      <w:bookmarkEnd w:id="2"/>
    </w:tbl>
    <w:p w:rsidR="00C5099B" w:rsidRDefault="00C5099B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C5099B" w:rsidRDefault="00082154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выполнения или невыполнения основных мероприятий, мероприятий муниципальной </w:t>
      </w:r>
      <w:r w:rsidRPr="00082154">
        <w:rPr>
          <w:rFonts w:ascii="Times New Roman" w:hAnsi="Times New Roman" w:cs="Times New Roman"/>
          <w:b/>
          <w:strike/>
          <w:sz w:val="24"/>
          <w:szCs w:val="24"/>
        </w:rPr>
        <w:t>Под</w:t>
      </w:r>
      <w:r>
        <w:rPr>
          <w:rFonts w:ascii="Times New Roman" w:hAnsi="Times New Roman" w:cs="Times New Roman"/>
          <w:b/>
          <w:sz w:val="24"/>
          <w:szCs w:val="24"/>
        </w:rPr>
        <w:t>программы в отчетном году</w:t>
      </w:r>
    </w:p>
    <w:p w:rsidR="00C5099B" w:rsidRDefault="000821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комплексном плане </w:t>
      </w:r>
      <w:bookmarkStart w:id="3" w:name="_GoBack"/>
      <w:r w:rsidRPr="00082154">
        <w:rPr>
          <w:bCs/>
          <w:strike/>
          <w:sz w:val="24"/>
          <w:szCs w:val="24"/>
        </w:rPr>
        <w:t>под</w:t>
      </w:r>
      <w:bookmarkEnd w:id="3"/>
      <w:r>
        <w:rPr>
          <w:bCs/>
          <w:sz w:val="24"/>
          <w:szCs w:val="24"/>
        </w:rPr>
        <w:t>программы  на 2024 год определены:</w:t>
      </w:r>
    </w:p>
    <w:p w:rsidR="00C5099B" w:rsidRDefault="00082154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задачи;</w:t>
      </w:r>
    </w:p>
    <w:p w:rsidR="00C5099B" w:rsidRDefault="00082154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 основных мероприятий;</w:t>
      </w:r>
    </w:p>
    <w:p w:rsidR="00C5099B" w:rsidRDefault="00082154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мероприятия</w:t>
      </w:r>
    </w:p>
    <w:p w:rsidR="00C5099B" w:rsidRDefault="00C5099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C5099B" w:rsidRDefault="0008215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ресурсном обеспечении реализации муниципальной программы за счет всех источников финансирования.</w:t>
      </w:r>
    </w:p>
    <w:p w:rsidR="00C5099B" w:rsidRDefault="00C5099B">
      <w:pPr>
        <w:ind w:firstLine="567"/>
        <w:jc w:val="center"/>
        <w:rPr>
          <w:b/>
          <w:sz w:val="24"/>
          <w:szCs w:val="24"/>
        </w:rPr>
      </w:pPr>
    </w:p>
    <w:p w:rsidR="00C5099B" w:rsidRDefault="000821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показателях (индикаторах) муниципальной программы, подпрограмм муниципальной программы и их значениях представлены  в таблице 2. </w:t>
      </w:r>
    </w:p>
    <w:p w:rsidR="00C5099B" w:rsidRDefault="00C5099B">
      <w:pPr>
        <w:ind w:firstLine="567"/>
        <w:jc w:val="right"/>
      </w:pPr>
    </w:p>
    <w:p w:rsidR="00C5099B" w:rsidRDefault="00082154">
      <w:pPr>
        <w:ind w:firstLine="567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Таблица 2.</w:t>
      </w: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tbl>
      <w:tblPr>
        <w:tblW w:w="9773" w:type="dxa"/>
        <w:tblLayout w:type="fixed"/>
        <w:tblLook w:val="04A0" w:firstRow="1" w:lastRow="0" w:firstColumn="1" w:lastColumn="0" w:noHBand="0" w:noVBand="1"/>
      </w:tblPr>
      <w:tblGrid>
        <w:gridCol w:w="3621"/>
        <w:gridCol w:w="1052"/>
        <w:gridCol w:w="1843"/>
        <w:gridCol w:w="1934"/>
        <w:gridCol w:w="1323"/>
      </w:tblGrid>
      <w:tr w:rsidR="00C5099B">
        <w:trPr>
          <w:trHeight w:val="768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Наименование целевой статьи (с учетом группировки)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Код целевой статьи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Бюджетная роспись (расходы),</w:t>
            </w:r>
            <w:r w:rsidRPr="00137692">
              <w:rPr>
                <w:b/>
                <w:color w:val="000000"/>
                <w:sz w:val="21"/>
                <w:szCs w:val="21"/>
              </w:rPr>
              <w:t xml:space="preserve"> тыс </w:t>
            </w:r>
            <w:r>
              <w:rPr>
                <w:b/>
                <w:color w:val="000000"/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Кассовый расход тыс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 xml:space="preserve">. </w:t>
            </w:r>
            <w:r>
              <w:rPr>
                <w:b/>
                <w:color w:val="000000"/>
                <w:sz w:val="21"/>
                <w:szCs w:val="21"/>
              </w:rPr>
              <w:t>руб.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ind w:hanging="6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Исполнение</w:t>
            </w:r>
          </w:p>
          <w:p w:rsidR="00C5099B" w:rsidRDefault="0008215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 </w:t>
            </w:r>
          </w:p>
        </w:tc>
      </w:tr>
      <w:tr w:rsidR="00C5099B">
        <w:trPr>
          <w:trHeight w:val="288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C5099B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99B" w:rsidRDefault="000821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Текущий год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99B" w:rsidRDefault="000821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Итого за период</w:t>
            </w:r>
          </w:p>
        </w:tc>
        <w:tc>
          <w:tcPr>
            <w:tcW w:w="13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099B" w:rsidRDefault="00C5099B">
            <w:pPr>
              <w:rPr>
                <w:bCs/>
                <w:sz w:val="21"/>
                <w:szCs w:val="21"/>
              </w:rPr>
            </w:pPr>
          </w:p>
        </w:tc>
      </w:tr>
      <w:tr w:rsidR="00C5099B">
        <w:trPr>
          <w:trHeight w:val="63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Pr="00137692" w:rsidRDefault="00082154">
            <w:pPr>
              <w:textAlignment w:val="top"/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eastAsia="zh-CN" w:bidi="ar"/>
              </w:rPr>
            </w:pPr>
            <w:r w:rsidRPr="00137692"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eastAsia="zh-CN" w:bidi="ar"/>
              </w:rPr>
              <w:t>Муниципальная программа муниципального района "Сыктывдинский" Республики Коми "Развитие управления муниципальным имуществом"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center"/>
              <w:textAlignment w:val="top"/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val="en-US" w:eastAsia="zh-CN" w:bidi="ar"/>
              </w:rPr>
              <w:t>1100000000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wordWrap w:val="0"/>
              <w:jc w:val="right"/>
              <w:textAlignment w:val="top"/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val="en-US" w:eastAsia="zh-CN"/>
              </w:rPr>
              <w:t>5558</w:t>
            </w:r>
            <w:r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eastAsia="zh-CN"/>
              </w:rPr>
              <w:t>,20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val="en-US" w:eastAsia="zh-CN"/>
              </w:rPr>
              <w:t>5558</w:t>
            </w:r>
            <w:r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eastAsia="zh-CN"/>
              </w:rPr>
              <w:t>,20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b/>
                <w:i/>
                <w:iCs/>
                <w:color w:val="000000"/>
                <w:sz w:val="22"/>
                <w:szCs w:val="22"/>
                <w:lang w:eastAsia="zh-CN" w:bidi="ar"/>
              </w:rPr>
              <w:t>100</w:t>
            </w:r>
          </w:p>
        </w:tc>
      </w:tr>
      <w:tr w:rsidR="00C5099B">
        <w:trPr>
          <w:trHeight w:val="63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textAlignment w:val="top"/>
              <w:rPr>
                <w:b/>
                <w:color w:val="000000"/>
                <w:sz w:val="21"/>
                <w:szCs w:val="21"/>
              </w:rPr>
            </w:pPr>
            <w:r w:rsidRPr="00137692">
              <w:rPr>
                <w:rFonts w:eastAsia="SimSun"/>
                <w:b/>
                <w:color w:val="000000"/>
                <w:sz w:val="21"/>
                <w:szCs w:val="21"/>
                <w:lang w:eastAsia="zh-CN" w:bidi="ar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center"/>
              <w:textAlignment w:val="top"/>
              <w:rPr>
                <w:b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 w:bidi="ar"/>
              </w:rPr>
              <w:t>1101100000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right"/>
              <w:textAlignment w:val="top"/>
              <w:rPr>
                <w:b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b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b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</w:tr>
      <w:tr w:rsidR="00C5099B">
        <w:trPr>
          <w:trHeight w:val="41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textAlignment w:val="top"/>
              <w:rPr>
                <w:b/>
                <w:color w:val="000000"/>
                <w:sz w:val="21"/>
                <w:szCs w:val="21"/>
              </w:rPr>
            </w:pPr>
            <w:r w:rsidRPr="00137692">
              <w:rPr>
                <w:rFonts w:eastAsia="SimSun"/>
                <w:b/>
                <w:color w:val="000000"/>
                <w:sz w:val="21"/>
                <w:szCs w:val="21"/>
                <w:lang w:eastAsia="zh-CN" w:bidi="ar"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center"/>
              <w:textAlignment w:val="top"/>
              <w:rPr>
                <w:b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 w:bidi="ar"/>
              </w:rPr>
              <w:t>1101200000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b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181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b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181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b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 w:bidi="ar"/>
              </w:rPr>
              <w:t>100</w:t>
            </w:r>
          </w:p>
        </w:tc>
      </w:tr>
      <w:tr w:rsidR="00C5099B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textAlignment w:val="top"/>
              <w:rPr>
                <w:b/>
                <w:color w:val="000000"/>
                <w:sz w:val="21"/>
                <w:szCs w:val="21"/>
              </w:rPr>
            </w:pPr>
            <w:r w:rsidRPr="00137692">
              <w:rPr>
                <w:rFonts w:eastAsia="SimSun"/>
                <w:b/>
                <w:color w:val="000000"/>
                <w:sz w:val="21"/>
                <w:szCs w:val="21"/>
                <w:lang w:eastAsia="zh-CN" w:bidi="ar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center"/>
              <w:textAlignment w:val="top"/>
              <w:rPr>
                <w:b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 w:bidi="ar"/>
              </w:rPr>
              <w:t>1103200000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b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45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b/>
                <w:color w:val="000000"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45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b/>
                <w:sz w:val="21"/>
                <w:szCs w:val="21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</w:tr>
      <w:tr w:rsidR="00C5099B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Pr="00137692" w:rsidRDefault="00082154">
            <w:pPr>
              <w:textAlignment w:val="top"/>
              <w:rPr>
                <w:rFonts w:eastAsia="SimSun"/>
                <w:b/>
                <w:color w:val="000000"/>
                <w:sz w:val="21"/>
                <w:szCs w:val="21"/>
                <w:lang w:eastAsia="zh-CN" w:bidi="ar"/>
              </w:rPr>
            </w:pPr>
            <w:r w:rsidRPr="00137692">
              <w:rPr>
                <w:rFonts w:eastAsia="SimSun"/>
                <w:b/>
                <w:color w:val="000000"/>
                <w:sz w:val="21"/>
                <w:szCs w:val="21"/>
                <w:lang w:eastAsia="zh-CN" w:bidi="ar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center"/>
              <w:textAlignment w:val="top"/>
              <w:rPr>
                <w:rFonts w:eastAsia="SimSun"/>
                <w:b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 w:bidi="ar"/>
              </w:rPr>
              <w:t>1105100000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rFonts w:eastAsia="SimSu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311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rFonts w:eastAsia="SimSu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311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SimSun"/>
                <w:b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rFonts w:eastAsia="SimSu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SimSun"/>
                <w:b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</w:tr>
      <w:tr w:rsidR="00C5099B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Pr="00137692" w:rsidRDefault="00082154">
            <w:pPr>
              <w:textAlignment w:val="top"/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</w:pPr>
            <w:r w:rsidRPr="00137692"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center"/>
              <w:textAlignment w:val="top"/>
              <w:rPr>
                <w:rFonts w:eastAsia="SimSun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eastAsia="SimSun"/>
                <w:bCs/>
                <w:color w:val="000000"/>
                <w:sz w:val="21"/>
                <w:szCs w:val="21"/>
                <w:lang w:val="en-US" w:eastAsia="zh-CN" w:bidi="ar"/>
              </w:rPr>
              <w:t>1105100000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SimSun"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SimSun"/>
                <w:bCs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SimSun"/>
                <w:bCs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SimSun"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SimSun"/>
                <w:bCs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SimSun"/>
                <w:bCs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</w:tr>
      <w:tr w:rsidR="00C5099B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Pr="00137692" w:rsidRDefault="00082154">
            <w:pPr>
              <w:textAlignment w:val="top"/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</w:pPr>
            <w:r w:rsidRPr="00137692"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99B" w:rsidRDefault="00082154">
            <w:pPr>
              <w:jc w:val="center"/>
              <w:textAlignment w:val="top"/>
              <w:rPr>
                <w:rFonts w:eastAsia="SimSun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eastAsia="SimSun"/>
                <w:bCs/>
                <w:color w:val="000000"/>
                <w:sz w:val="21"/>
                <w:szCs w:val="21"/>
                <w:lang w:val="en-US" w:eastAsia="zh-CN" w:bidi="ar"/>
              </w:rPr>
              <w:t>11051S2840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SimSun"/>
                <w:bCs/>
                <w:color w:val="000000"/>
                <w:sz w:val="21"/>
                <w:szCs w:val="21"/>
                <w:lang w:val="en-US" w:eastAsia="zh-CN"/>
              </w:rPr>
              <w:t>294</w:t>
            </w:r>
            <w:r>
              <w:rPr>
                <w:rFonts w:eastAsia="SimSun"/>
                <w:bCs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Cs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SimSun"/>
                <w:bCs/>
                <w:color w:val="000000"/>
                <w:sz w:val="21"/>
                <w:szCs w:val="21"/>
                <w:lang w:val="en-US" w:eastAsia="zh-CN"/>
              </w:rPr>
              <w:t>294</w:t>
            </w:r>
            <w:r>
              <w:rPr>
                <w:rFonts w:eastAsia="SimSun"/>
                <w:bCs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Cs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099B" w:rsidRDefault="00082154">
            <w:pPr>
              <w:jc w:val="right"/>
              <w:textAlignment w:val="top"/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SimSun"/>
                <w:bCs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</w:tr>
    </w:tbl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08215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Кассовый расход по реализации муниципальной программы в 2024 году составил 100 % .</w:t>
      </w:r>
    </w:p>
    <w:p w:rsidR="00C5099B" w:rsidRDefault="0008215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итогам в рамках муниципальной программы израсходована сумма 5558,20 тыс. рублей. Из 4 мероприятий, имеющих финансирование, все 4 выполнены (в размере 100%), это :</w:t>
      </w:r>
    </w:p>
    <w:p w:rsidR="00C5099B" w:rsidRDefault="00082154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</w:r>
    </w:p>
    <w:p w:rsidR="00C5099B" w:rsidRDefault="00082154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разграничена;</w:t>
      </w:r>
    </w:p>
    <w:p w:rsidR="00C5099B" w:rsidRDefault="00082154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предоставление земельных участков в аренду, постоянное (бессрочное) пользование, безвозмездное срочное пользование;</w:t>
      </w:r>
    </w:p>
    <w:p w:rsidR="00C5099B" w:rsidRDefault="00082154">
      <w:pPr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Коми.</w:t>
      </w: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082154">
      <w:pPr>
        <w:ind w:firstLine="567"/>
        <w:jc w:val="center"/>
        <w:rPr>
          <w:rFonts w:eastAsia="Calibri"/>
          <w:sz w:val="24"/>
          <w:szCs w:val="24"/>
        </w:rPr>
      </w:pPr>
      <w:hyperlink w:anchor="P929" w:history="1">
        <w:r>
          <w:rPr>
            <w:b/>
            <w:sz w:val="24"/>
            <w:szCs w:val="24"/>
          </w:rPr>
          <w:t>Сведения</w:t>
        </w:r>
      </w:hyperlink>
      <w:r>
        <w:rPr>
          <w:b/>
          <w:sz w:val="24"/>
          <w:szCs w:val="24"/>
        </w:rPr>
        <w:t xml:space="preserve"> о достижении значений целевых показателей (индикаторов) муниципальных программ (подпрограмм), установленных на 2024 год;</w:t>
      </w:r>
    </w:p>
    <w:p w:rsidR="00C5099B" w:rsidRDefault="00C5099B">
      <w:pPr>
        <w:ind w:firstLine="567"/>
        <w:jc w:val="center"/>
        <w:rPr>
          <w:rFonts w:eastAsia="Calibri"/>
          <w:sz w:val="24"/>
          <w:szCs w:val="24"/>
        </w:rPr>
      </w:pP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134"/>
        <w:gridCol w:w="1134"/>
        <w:gridCol w:w="1134"/>
        <w:gridCol w:w="1134"/>
        <w:gridCol w:w="1839"/>
      </w:tblGrid>
      <w:tr w:rsidR="00C5099B">
        <w:tc>
          <w:tcPr>
            <w:tcW w:w="567" w:type="dxa"/>
            <w:vMerge w:val="restart"/>
          </w:tcPr>
          <w:p w:rsidR="00C5099B" w:rsidRDefault="0008215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C5099B" w:rsidRDefault="00082154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C5099B" w:rsidRDefault="00082154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3402" w:type="dxa"/>
            <w:gridSpan w:val="3"/>
          </w:tcPr>
          <w:p w:rsidR="00C5099B" w:rsidRDefault="00082154">
            <w:pPr>
              <w:pStyle w:val="ConsPlusNormal"/>
              <w:jc w:val="center"/>
            </w:pPr>
            <w: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839" w:type="dxa"/>
            <w:vMerge w:val="restart"/>
          </w:tcPr>
          <w:p w:rsidR="00C5099B" w:rsidRDefault="00082154">
            <w:pPr>
              <w:pStyle w:val="ConsPlusNormal"/>
              <w:jc w:val="center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C5099B">
        <w:tc>
          <w:tcPr>
            <w:tcW w:w="567" w:type="dxa"/>
            <w:vMerge/>
          </w:tcPr>
          <w:p w:rsidR="00C5099B" w:rsidRDefault="00C5099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099B" w:rsidRDefault="00C50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99B" w:rsidRDefault="00C50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099B" w:rsidRDefault="00082154">
            <w:pPr>
              <w:pStyle w:val="ConsPlusNormal"/>
              <w:jc w:val="center"/>
            </w:pPr>
            <w:r>
              <w:t>Фактическое значение года, предшествующего отчетному</w:t>
            </w:r>
          </w:p>
        </w:tc>
        <w:tc>
          <w:tcPr>
            <w:tcW w:w="2268" w:type="dxa"/>
            <w:gridSpan w:val="2"/>
          </w:tcPr>
          <w:p w:rsidR="00C5099B" w:rsidRDefault="0008215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839" w:type="dxa"/>
            <w:vMerge/>
          </w:tcPr>
          <w:p w:rsidR="00C5099B" w:rsidRDefault="00C5099B">
            <w:pPr>
              <w:rPr>
                <w:sz w:val="24"/>
                <w:szCs w:val="24"/>
              </w:rPr>
            </w:pPr>
          </w:p>
        </w:tc>
      </w:tr>
      <w:tr w:rsidR="00C5099B">
        <w:tc>
          <w:tcPr>
            <w:tcW w:w="567" w:type="dxa"/>
            <w:vMerge/>
          </w:tcPr>
          <w:p w:rsidR="00C5099B" w:rsidRDefault="00C5099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099B" w:rsidRDefault="00C50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99B" w:rsidRDefault="00C50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99B" w:rsidRDefault="00C50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839" w:type="dxa"/>
            <w:vMerge/>
          </w:tcPr>
          <w:p w:rsidR="00C5099B" w:rsidRDefault="00C5099B">
            <w:pPr>
              <w:rPr>
                <w:sz w:val="24"/>
                <w:szCs w:val="24"/>
              </w:rPr>
            </w:pPr>
          </w:p>
        </w:tc>
      </w:tr>
      <w:tr w:rsidR="00C5099B">
        <w:tc>
          <w:tcPr>
            <w:tcW w:w="567" w:type="dxa"/>
          </w:tcPr>
          <w:p w:rsidR="00C5099B" w:rsidRDefault="000821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5099B" w:rsidRDefault="000821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39" w:type="dxa"/>
          </w:tcPr>
          <w:p w:rsidR="00C5099B" w:rsidRDefault="00082154">
            <w:pPr>
              <w:pStyle w:val="ConsPlusNormal"/>
              <w:jc w:val="center"/>
            </w:pPr>
            <w:r>
              <w:t>7</w:t>
            </w:r>
          </w:p>
        </w:tc>
      </w:tr>
      <w:tr w:rsidR="00C5099B">
        <w:tc>
          <w:tcPr>
            <w:tcW w:w="9493" w:type="dxa"/>
            <w:gridSpan w:val="7"/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</w:rPr>
              <w:t>Задача 1.</w:t>
            </w:r>
            <w:r>
              <w:t xml:space="preserve"> Обеспечение государственной регистрации права собственности муниципального района «Сыктывдинский»</w:t>
            </w:r>
          </w:p>
        </w:tc>
      </w:tr>
      <w:tr w:rsidR="00C5099B">
        <w:tc>
          <w:tcPr>
            <w:tcW w:w="567" w:type="dxa"/>
          </w:tcPr>
          <w:p w:rsidR="00C5099B" w:rsidRDefault="0008215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C5099B" w:rsidRDefault="00082154">
            <w:pPr>
              <w:pStyle w:val="ConsPlusNormal"/>
            </w:pPr>
            <w: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"Сыктывдинский"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39" w:type="dxa"/>
          </w:tcPr>
          <w:p w:rsidR="00C5099B" w:rsidRDefault="00082154">
            <w:pPr>
              <w:pStyle w:val="ConsPlusNormal"/>
              <w:jc w:val="center"/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 xml:space="preserve">Достигнут, </w:t>
            </w:r>
            <w:r>
              <w:rPr>
                <w:rFonts w:eastAsia="Calibri"/>
                <w:color w:val="000000" w:themeColor="text1"/>
                <w:lang w:eastAsia="en-US"/>
              </w:rPr>
              <w:t>отклонений 5%</w:t>
            </w:r>
          </w:p>
        </w:tc>
      </w:tr>
      <w:tr w:rsidR="00C5099B">
        <w:tc>
          <w:tcPr>
            <w:tcW w:w="567" w:type="dxa"/>
          </w:tcPr>
          <w:p w:rsidR="00C5099B" w:rsidRDefault="0008215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C5099B" w:rsidRDefault="00082154">
            <w:pPr>
              <w:pStyle w:val="ConsPlusNormal"/>
            </w:pPr>
            <w: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 xml:space="preserve">65 </w:t>
            </w:r>
          </w:p>
        </w:tc>
        <w:tc>
          <w:tcPr>
            <w:tcW w:w="1839" w:type="dxa"/>
          </w:tcPr>
          <w:p w:rsidR="00C5099B" w:rsidRDefault="00082154">
            <w:pPr>
              <w:pStyle w:val="ConsPlusNormal"/>
              <w:jc w:val="center"/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 xml:space="preserve">Достигнут, </w:t>
            </w:r>
            <w:r>
              <w:rPr>
                <w:rFonts w:eastAsia="Calibri"/>
                <w:color w:val="000000" w:themeColor="text1"/>
                <w:lang w:eastAsia="en-US"/>
              </w:rPr>
              <w:t>отклонений 10%</w:t>
            </w:r>
          </w:p>
        </w:tc>
      </w:tr>
      <w:tr w:rsidR="00C5099B">
        <w:tc>
          <w:tcPr>
            <w:tcW w:w="9493" w:type="dxa"/>
            <w:gridSpan w:val="7"/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</w:rPr>
              <w:t>Задача 2.</w:t>
            </w:r>
            <w: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C5099B">
        <w:tc>
          <w:tcPr>
            <w:tcW w:w="567" w:type="dxa"/>
          </w:tcPr>
          <w:p w:rsidR="00C5099B" w:rsidRDefault="00082154">
            <w:pPr>
              <w:pStyle w:val="ConsPlusNormal"/>
              <w:jc w:val="center"/>
            </w:pPr>
            <w:r>
              <w:t xml:space="preserve">3. </w:t>
            </w:r>
          </w:p>
        </w:tc>
        <w:tc>
          <w:tcPr>
            <w:tcW w:w="2551" w:type="dxa"/>
          </w:tcPr>
          <w:p w:rsidR="00C5099B" w:rsidRDefault="00082154">
            <w:pPr>
              <w:pStyle w:val="ConsPlusNormal"/>
            </w:pPr>
            <w:r>
              <w:t xml:space="preserve">Удельный вес приватизированных объектов недвижимости к общему количеству объектов недвижимости, включенных в Прогнозный план (программу) 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9" w:type="dxa"/>
          </w:tcPr>
          <w:p w:rsidR="00C5099B" w:rsidRDefault="00082154">
            <w:pPr>
              <w:pStyle w:val="ConsPlusNormal"/>
              <w:jc w:val="center"/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Не достигнут</w:t>
            </w:r>
          </w:p>
        </w:tc>
      </w:tr>
      <w:tr w:rsidR="00C5099B">
        <w:tc>
          <w:tcPr>
            <w:tcW w:w="9493" w:type="dxa"/>
            <w:gridSpan w:val="7"/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</w:rPr>
              <w:t>Задача 3.</w:t>
            </w:r>
            <w:r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C5099B">
        <w:tc>
          <w:tcPr>
            <w:tcW w:w="567" w:type="dxa"/>
          </w:tcPr>
          <w:p w:rsidR="00C5099B" w:rsidRDefault="0008215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C5099B" w:rsidRDefault="00082154">
            <w:pPr>
              <w:pStyle w:val="ConsPlusNormal"/>
            </w:pPr>
            <w: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участков, переданных в рамках разграничения государственных полномочий)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839" w:type="dxa"/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  <w:bCs w:val="0"/>
              </w:rPr>
              <w:t xml:space="preserve">Достигнут, </w:t>
            </w:r>
            <w:r>
              <w:rPr>
                <w:rFonts w:eastAsia="Calibri"/>
                <w:lang w:eastAsia="en-US"/>
              </w:rPr>
              <w:t>отклонение 81%</w:t>
            </w:r>
          </w:p>
        </w:tc>
      </w:tr>
      <w:tr w:rsidR="00C5099B">
        <w:tc>
          <w:tcPr>
            <w:tcW w:w="567" w:type="dxa"/>
          </w:tcPr>
          <w:p w:rsidR="00C5099B" w:rsidRDefault="0008215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</w:tcPr>
          <w:p w:rsidR="00C5099B" w:rsidRDefault="00082154">
            <w:pPr>
              <w:pStyle w:val="ConsPlusNormal"/>
            </w:pPr>
            <w: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"Сыктывдинский"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839" w:type="dxa"/>
          </w:tcPr>
          <w:p w:rsidR="00C5099B" w:rsidRDefault="00082154">
            <w:pPr>
              <w:pStyle w:val="ConsPlusNormal"/>
              <w:jc w:val="center"/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 xml:space="preserve">достигнут, </w:t>
            </w:r>
            <w:r>
              <w:rPr>
                <w:rFonts w:eastAsia="Calibri"/>
                <w:color w:val="000000" w:themeColor="text1"/>
                <w:lang w:eastAsia="en-US"/>
              </w:rPr>
              <w:t>отклонений 0%</w:t>
            </w:r>
          </w:p>
        </w:tc>
      </w:tr>
      <w:tr w:rsidR="00C5099B">
        <w:tc>
          <w:tcPr>
            <w:tcW w:w="9493" w:type="dxa"/>
            <w:gridSpan w:val="7"/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</w:rPr>
              <w:t>Задача 4.</w:t>
            </w:r>
            <w:r>
              <w:t xml:space="preserve"> Актуализация планово-картографической основы для единого учета земельных участков;</w:t>
            </w:r>
          </w:p>
        </w:tc>
      </w:tr>
      <w:tr w:rsidR="00C5099B">
        <w:tc>
          <w:tcPr>
            <w:tcW w:w="567" w:type="dxa"/>
          </w:tcPr>
          <w:p w:rsidR="00C5099B" w:rsidRDefault="0008215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</w:tcPr>
          <w:p w:rsidR="00C5099B" w:rsidRDefault="00082154">
            <w:pPr>
              <w:pStyle w:val="ConsPlusNormal"/>
            </w:pPr>
            <w: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недвижимости.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73,5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839" w:type="dxa"/>
          </w:tcPr>
          <w:p w:rsidR="00C5099B" w:rsidRDefault="00082154">
            <w:pPr>
              <w:pStyle w:val="ConsPlusNormal"/>
              <w:jc w:val="center"/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 xml:space="preserve">Достигнут, </w:t>
            </w:r>
            <w:r>
              <w:rPr>
                <w:rFonts w:eastAsia="Calibri"/>
                <w:color w:val="000000" w:themeColor="text1"/>
                <w:lang w:eastAsia="en-US"/>
              </w:rPr>
              <w:t>отклонений 0%</w:t>
            </w:r>
          </w:p>
        </w:tc>
      </w:tr>
      <w:tr w:rsidR="00C5099B">
        <w:tc>
          <w:tcPr>
            <w:tcW w:w="567" w:type="dxa"/>
          </w:tcPr>
          <w:p w:rsidR="00C5099B" w:rsidRDefault="0008215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</w:tcPr>
          <w:p w:rsidR="00C5099B" w:rsidRDefault="0008215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 в кадастровых кварталах, в отношении которых проведены комплексные кадастровые работы.</w:t>
            </w:r>
          </w:p>
        </w:tc>
        <w:tc>
          <w:tcPr>
            <w:tcW w:w="1134" w:type="dxa"/>
          </w:tcPr>
          <w:p w:rsidR="00C5099B" w:rsidRDefault="00082154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5701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9" w:type="dxa"/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  <w:bCs w:val="0"/>
              </w:rPr>
              <w:t>Достигнуто</w:t>
            </w:r>
          </w:p>
        </w:tc>
      </w:tr>
      <w:tr w:rsidR="00C5099B">
        <w:tc>
          <w:tcPr>
            <w:tcW w:w="9493" w:type="dxa"/>
            <w:gridSpan w:val="7"/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</w:rPr>
              <w:t xml:space="preserve">Задача 5. </w:t>
            </w:r>
            <w:r>
              <w:t>Поддержание работоспособности инфраструктуры связи.</w:t>
            </w:r>
          </w:p>
        </w:tc>
      </w:tr>
      <w:tr w:rsidR="00C5099B">
        <w:tc>
          <w:tcPr>
            <w:tcW w:w="567" w:type="dxa"/>
          </w:tcPr>
          <w:p w:rsidR="00C5099B" w:rsidRDefault="0008215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</w:tcPr>
          <w:p w:rsidR="00C5099B" w:rsidRDefault="00082154">
            <w:pPr>
              <w:pStyle w:val="ConsPlusNormal"/>
            </w:pPr>
            <w:r>
              <w:t>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9" w:type="dxa"/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  <w:bCs w:val="0"/>
              </w:rPr>
              <w:t>Достигнуто,</w:t>
            </w:r>
            <w:r>
              <w:t xml:space="preserve"> отклонение 0</w:t>
            </w:r>
            <w:r>
              <w:rPr>
                <w:rFonts w:eastAsia="Calibri"/>
                <w:lang w:eastAsia="en-US"/>
              </w:rPr>
              <w:t>%</w:t>
            </w:r>
          </w:p>
        </w:tc>
      </w:tr>
      <w:tr w:rsidR="00C5099B">
        <w:tc>
          <w:tcPr>
            <w:tcW w:w="567" w:type="dxa"/>
          </w:tcPr>
          <w:p w:rsidR="00C5099B" w:rsidRDefault="0008215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</w:tcPr>
          <w:p w:rsidR="00C5099B" w:rsidRDefault="00082154">
            <w:pPr>
              <w:pStyle w:val="ConsPlusNormal"/>
            </w:pPr>
            <w:r>
              <w:t>Количество действующих точек доступа к инфраструктуре связи, созданной в рамках реализации инвестиционных проектов, связанных с развитием инфраструктуры связи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5099B" w:rsidRDefault="00082154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9" w:type="dxa"/>
          </w:tcPr>
          <w:p w:rsidR="00C5099B" w:rsidRDefault="00082154">
            <w:pPr>
              <w:pStyle w:val="ConsPlus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Достигнуто,</w:t>
            </w:r>
            <w:r>
              <w:t xml:space="preserve"> отклонение 0</w:t>
            </w:r>
            <w:r>
              <w:rPr>
                <w:rFonts w:eastAsia="Calibri"/>
                <w:lang w:eastAsia="en-US"/>
              </w:rPr>
              <w:t>%</w:t>
            </w:r>
          </w:p>
        </w:tc>
      </w:tr>
    </w:tbl>
    <w:p w:rsidR="00C5099B" w:rsidRDefault="00C5099B">
      <w:pPr>
        <w:ind w:firstLine="567"/>
        <w:jc w:val="right"/>
        <w:rPr>
          <w:rFonts w:eastAsia="Calibri"/>
          <w:sz w:val="24"/>
          <w:szCs w:val="24"/>
        </w:rPr>
      </w:pPr>
    </w:p>
    <w:p w:rsidR="00C5099B" w:rsidRDefault="00C5099B">
      <w:pPr>
        <w:ind w:firstLine="567"/>
        <w:jc w:val="right"/>
        <w:rPr>
          <w:rFonts w:eastAsia="Calibri"/>
          <w:sz w:val="24"/>
          <w:szCs w:val="24"/>
          <w:highlight w:val="yellow"/>
        </w:rPr>
      </w:pPr>
    </w:p>
    <w:p w:rsidR="00C5099B" w:rsidRDefault="0008215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Из 9 индикаторов муниципальной программы по итогам 2024 года достигнуты 8, не достигнут 1 показатель, а именно:</w:t>
      </w:r>
    </w:p>
    <w:p w:rsidR="00C5099B" w:rsidRDefault="00082154">
      <w:pPr>
        <w:spacing w:line="276" w:lineRule="auto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>Показатель 3</w:t>
      </w:r>
      <w:r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</w:rPr>
        <w:t xml:space="preserve"> Удельный вес приватизированных объектов недвижимости к общему количеству объектов недвижимости, включенных в Прогнозный план (программу) В плане приватизации муниципального имущества на 2024 год  значился один объект (объект - гаражи с земельным участком, расположенный в с.Шошка). Объект находится в ветхом состоянии, что стало причиной отсутствии спроса на объект.</w:t>
      </w:r>
    </w:p>
    <w:p w:rsidR="00C5099B" w:rsidRDefault="00C5099B">
      <w:pPr>
        <w:spacing w:line="276" w:lineRule="auto"/>
        <w:ind w:firstLine="540"/>
        <w:jc w:val="both"/>
        <w:rPr>
          <w:i/>
          <w:sz w:val="24"/>
          <w:szCs w:val="24"/>
          <w:highlight w:val="yellow"/>
        </w:rPr>
      </w:pPr>
    </w:p>
    <w:p w:rsidR="00C5099B" w:rsidRDefault="00C5099B">
      <w:pPr>
        <w:spacing w:line="276" w:lineRule="auto"/>
        <w:ind w:firstLine="540"/>
        <w:jc w:val="both"/>
        <w:rPr>
          <w:i/>
          <w:iCs/>
          <w:sz w:val="24"/>
          <w:szCs w:val="24"/>
        </w:rPr>
      </w:pPr>
    </w:p>
    <w:p w:rsidR="00C5099B" w:rsidRDefault="00082154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показателя имеют отклонение от планового значение выше 30 % (показатель 4). </w:t>
      </w:r>
    </w:p>
    <w:p w:rsidR="00C5099B" w:rsidRDefault="00C5099B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5099B" w:rsidRDefault="00082154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 показателю 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участков, переданных в рамках разграничения государственных полномочий) </w:t>
      </w:r>
      <w:r>
        <w:rPr>
          <w:rFonts w:ascii="Times New Roman" w:hAnsi="Times New Roman" w:cs="Times New Roman"/>
          <w:sz w:val="24"/>
          <w:szCs w:val="24"/>
        </w:rPr>
        <w:t xml:space="preserve">отклонение составило </w:t>
      </w:r>
      <w:r>
        <w:rPr>
          <w:rFonts w:ascii="Times New Roman" w:eastAsia="Calibri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% от запланированного в сторону увеличения. Данное отклонение возникло в связи с востребованностью земельных участков на территории Сыктывдинского района. В том числе, в связи с реализацией мероприятий связанных с проведением комплексных кадастровых работ на территории садоводческих обществ Сыктывдинского района, границы земельных участков в данных обществах были учтены в едином государственном реестре недвижимости в соответствии с земельным законодательством, а так же в ряде населенных пунктах. Данное мероприятие позволило исключить процедуру предварительного согласования предоставления земельного участка, в том числе исключить процедуру межевания за счет заявителя.</w:t>
      </w: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Результаты выполнения сводных показателей муниципальных заданий на оказание муниципальных услуг (работ) муниципальными учреждениями по муниципальной программе </w:t>
      </w: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не содержит муниципальных услуг, в связи с этим отсутствуют муниципальные задания.</w:t>
      </w: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Итоги оценки эффективности реализации муниципальной программы </w:t>
      </w: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Итоги оценки эффективности реализации муниципальной программы за 2024 год приведены в приложении 2 к годовому отчету.</w:t>
      </w: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муниципальной программы проводилась путем заполнения анкеты ( приложение 2), состоящей из вопросов, сгруппированных в двух блоках «Качество формирования» и «Эффективность реализации» в четыре раздела, каждый из которых имеет свой удельный вес в итоговой оценке:</w:t>
      </w: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Цели и «конструкция» (структуры) программы. Удельный вес (w) – 20%.</w:t>
      </w: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Качество планирования. Удельный вес (w) – 8%.</w:t>
      </w: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Качество управления программой. Удельный вес (w) – 15%.</w:t>
      </w: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Достигнутые результаты. Удельный вес (w) – 48,83 %.</w:t>
      </w: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итоговая рейтинговая оценка эффективности муниципальной программы определена по следующей общей формуле:</w:t>
      </w: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 = 12,95 балла.</w:t>
      </w: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ВЫВОДЫ:  В результате проведения оценки эффективности муниципальной программы  муниципального района «Сыктывдинский» Республики Коми «Развитие управления муниципальным имуществом» за 2024 год – муниципальная программа признана умеренно-эффективной. </w:t>
      </w: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 w:rsidP="000821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земельных отношений                                               Т.И. Большакова </w:t>
      </w: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«Согласовано»:</w:t>
      </w: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финансов                                                               Г.А. Щербакова</w:t>
      </w: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0821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 развития                                              В.М. Крючков</w:t>
      </w: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C5099B">
          <w:pgSz w:w="11906" w:h="16838"/>
          <w:pgMar w:top="1134" w:right="888" w:bottom="1134" w:left="1418" w:header="709" w:footer="709" w:gutter="0"/>
          <w:cols w:space="708"/>
          <w:docGrid w:linePitch="360"/>
        </w:sectPr>
      </w:pPr>
    </w:p>
    <w:p w:rsidR="00C5099B" w:rsidRDefault="0008215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Годовому отчету </w:t>
      </w:r>
    </w:p>
    <w:p w:rsidR="00C5099B" w:rsidRDefault="0008215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реализации МП за 2024 год   </w:t>
      </w:r>
    </w:p>
    <w:p w:rsidR="00C5099B" w:rsidRDefault="00C5099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5099B" w:rsidRDefault="0008215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Реализация комплексного плана мероприятий по реализации муниципальной программы  муниципального образования</w:t>
      </w:r>
    </w:p>
    <w:p w:rsidR="00C5099B" w:rsidRDefault="0008215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«Сыктывдинский» «Развитие муниципального управления» за 2024 год.</w:t>
      </w:r>
    </w:p>
    <w:p w:rsidR="00C5099B" w:rsidRDefault="00C5099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16062" w:type="dxa"/>
        <w:tblInd w:w="-5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1581"/>
        <w:gridCol w:w="1969"/>
        <w:gridCol w:w="1134"/>
        <w:gridCol w:w="924"/>
        <w:gridCol w:w="1134"/>
        <w:gridCol w:w="850"/>
        <w:gridCol w:w="1138"/>
        <w:gridCol w:w="1134"/>
        <w:gridCol w:w="1134"/>
        <w:gridCol w:w="425"/>
        <w:gridCol w:w="429"/>
        <w:gridCol w:w="426"/>
        <w:gridCol w:w="427"/>
        <w:gridCol w:w="1335"/>
        <w:gridCol w:w="850"/>
        <w:gridCol w:w="616"/>
      </w:tblGrid>
      <w:tr w:rsidR="00C5099B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Ответственное структурное подразделение ОМСУ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Срок окончания реализации (дата контрольного события)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Объем ресурсного обеспечения на очередной финансовый год, тыс. руб.</w:t>
            </w:r>
          </w:p>
        </w:tc>
        <w:tc>
          <w:tcPr>
            <w:tcW w:w="17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График реализации на очередной финансовый год, квартал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 xml:space="preserve">Целевой индикатор и показатель </w:t>
            </w:r>
          </w:p>
        </w:tc>
      </w:tr>
      <w:tr w:rsidR="00C5099B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7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Республиканского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Наименование, 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факт</w:t>
            </w: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17</w:t>
            </w:r>
          </w:p>
        </w:tc>
      </w:tr>
      <w:tr w:rsidR="00C5099B"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</w:rPr>
              <w:t>Задача 1.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  <w:rPr>
                <w:b/>
              </w:rPr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1.1.1.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Основное мероприятие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«Сыктывдинский.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Отчет за квартал.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(%</w:t>
            </w:r>
            <w: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39</w:t>
            </w: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Паспортизация объектов недвижимого имущества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1.1.1.2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Регистрация права муниципальной собственности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событие: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Заключение муниципального контракта на оказание услуг по выполнению кадастровых работ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C5099B" w:rsidRDefault="00C5099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C5099B" w:rsidRDefault="00C5099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1.1.2.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Основное 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181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(шт.)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65</w:t>
            </w: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1.1.2.1.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Постановка земельных участков на кадастровый учет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1.1.2.2.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Регистрация права муниципальной собственности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Заключение муниципального контракта/договора на оказание услуг по выполнению кадастровых работ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1.1.3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Основное мероприятие</w:t>
            </w:r>
          </w:p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1.1.3.1.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Постановка объектов недвижимости на кадастровый учет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1.1.3.2.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Регистрация права муниципальной собственности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Заключение муниципального контракта/договора на оказание услуг по выполнению кадастровых работ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</w:rPr>
              <w:t>Задача 2. Оптимизация структуры муниципального имущества муниципального района «Сыктывдинский»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  <w:rPr>
                <w:b/>
              </w:rPr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1.2.1.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Основное 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приватизации муниципального имущества муниципального района «Сыктывдинский».</w:t>
            </w:r>
          </w:p>
          <w:p w:rsidR="00C5099B" w:rsidRDefault="00C5099B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6"/>
                <w:szCs w:val="16"/>
              </w:rPr>
            </w:pP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Утверждение плана приватизации муниципального имущества муниципального района «Сыктывдинский».</w:t>
            </w:r>
          </w:p>
          <w:p w:rsidR="00C5099B" w:rsidRDefault="00C5099B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(%)</w:t>
            </w:r>
          </w:p>
          <w:p w:rsidR="00C5099B" w:rsidRDefault="00C509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0</w:t>
            </w: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1.2.1.1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Утверждение плана приватизации муниципального имущества муниципального района «Сыктывдинский»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1.2.1.2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Проведение оценочных работ, формирование отчёта о рыночной оценке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событие: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Заключение договоров купли-продажи объектов недвижимости включенных в план приватизации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1.2.2.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</w:t>
            </w:r>
          </w:p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1.2.2.1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Рассмотрение/подготовка предложения о приеме/передаче объекта в/из муниципальной собственности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1.2.2.2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Вынос вопроса о приеме/передаче объекта в/из муниципальной собственности на рассмотрение Совета МР «Сыктывдинский» Республики Коми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Принятие Советом МР «Сыктывдинский» Республики Коми решения о приеме/передаче объекта в/из муниципальной собственности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</w:rPr>
              <w:t>Задача 3. 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  <w:rPr>
                <w:b/>
              </w:rPr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1.3.1.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Основное 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 ведение.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Квартальный отчет.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(шт.)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143</w:t>
            </w: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1.3.1.1.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Формирование объектов для передачи во временное владение и (или) пользование из числа поставленных на кадастровый учет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1.3.1.2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Заключение договоров владения и (или) пользования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Регистрация в органах учета договоров перехода права обременения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1.3.2.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земельных участков в аренду, постоянное (бессрочное) пользование, безвозмездное срочное пользование.</w:t>
            </w:r>
          </w:p>
          <w:p w:rsidR="00C5099B" w:rsidRDefault="00C5099B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отношений,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45,30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45,30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1.3.2.1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Формирование объектов для передачи во временное владение и (или) пользование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45,30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1.3.2.2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Заключение договоров владения и (или) пользования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C5099B" w:rsidRDefault="00C5099B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left="-74"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ind w:right="-37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Передача земельных участков в рамках заключенных договоров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C5099B" w:rsidRDefault="00C5099B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1.3.3.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1.3.3.1.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Прием ходатайств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1.3.3.2.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Принятие решения о переводе/отказе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Подготовка решения о переводе/отказе в переводе земель или земельных участков в составе таких земель из одной категории в другую</w:t>
            </w:r>
          </w:p>
          <w:p w:rsidR="00C5099B" w:rsidRDefault="00C5099B">
            <w:pPr>
              <w:jc w:val="both"/>
              <w:rPr>
                <w:bCs/>
                <w:sz w:val="16"/>
                <w:szCs w:val="16"/>
              </w:rPr>
            </w:pP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1.3.4.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</w:t>
            </w:r>
          </w:p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Минимизация объектов муниципальной казны муниципального района "Сыктывдинский", не переданных пользователям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1.3.4.1.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1.3.4.2.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Списание муниципального имущества пришедшего в негодность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widowControl w:val="0"/>
              <w:autoSpaceDE w:val="0"/>
              <w:autoSpaceDN w:val="0"/>
              <w:adjustRightInd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Заключение договора аренды муниципального имущества, составление акта о списании муниципального имущества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C5099B" w:rsidRDefault="00082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</w:rPr>
              <w:t>Задача 4. Актуализация планово-картографической основы для единого учета земельных участков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  <w:rPr>
                <w:b/>
              </w:rPr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1.4.1.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 xml:space="preserve">Содействие администрациям сельских поселений в организации проведения комплексных кадастровых работ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Количество объектов недвижимости в кадастровых кварталах, в отношении которых проведены комплексные кадастровые работы, (ед.)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t>0</w:t>
            </w: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1.4.1.1.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Согласование местоположения границ земельных участков, установленных в результате проведения комплексных кадастровых работ, согласительными комиссиями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1.4.1.2.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Обеспечение организационной работы, методического сопровождения проведения комплексных кадастровых работ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Предоставление материально-технической базы администрации района при проведении согласительных комиссий, информационное сопровождение администраций сельских поселений при проведении комплексных кадастровых работ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1.4.2.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Комплексные кадастровые работы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1.4.2.1.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Заключение соглашения с Комитетом Республики Коми имущественных и земельных отношений о предоставлении субсидии из средств республиканского бюджета Республики Коми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Заключено соглашение о предоставлении субсидии из средств республиканского бюджета Республики Коми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1.4.2.2.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Заключение муниципального контракта на выполнение комплексных кадастровых работ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Проведение комплексных кадастровых работ в соответствии с условиями заключенных муниципальных контрактов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</w:rPr>
              <w:t>Задача 5. Поддержание работоспособности инфраструктуры связи.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  <w:rPr>
                <w:b/>
              </w:rPr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1.5.1.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Основное мероприятие 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Первый 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587,4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525,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62,2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Коми, на территории муниципального района.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1.5.1.1.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Запрос предложений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Первый заместитель руководителя администрации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Направление запроса предприятиям, осуществляющим предоставление услуг связи (интернет)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1.5.1.2.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2"/>
              </w:rPr>
              <w:t>Заключение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Первый заместитель руководителя администрации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587,4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525,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62,2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Заключены договора</w:t>
            </w:r>
            <w:r>
              <w:rPr>
                <w:sz w:val="16"/>
                <w:szCs w:val="12"/>
              </w:rPr>
              <w:t xml:space="preserve">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1.5.2.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16"/>
                <w:szCs w:val="16"/>
              </w:rPr>
              <w:t>Первый заместитель руководителя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1.5.2.1.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 xml:space="preserve">Сбор информации по качеству предоставления услуг связи (интернет) в труднодоступных и малонаселенных пунктах на территории муниципального района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Проведен мониторинг качества предоставления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1.5.2.2.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Предоставление отчетности в Министерство цифрового развития, связи и массовых коммуникаций Республики Коми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C5099B" w:rsidRDefault="00082154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>Отчет направлен в Министерство цифрового развития, связи и массовых коммуникаций Республики Коми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C5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  <w:tr w:rsidR="00C509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pStyle w:val="ConsPlusNormal"/>
              <w:jc w:val="center"/>
            </w:pPr>
            <w:r>
              <w:rPr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5558,2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ind w:left="-74"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ind w:left="-74"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082154">
            <w:pPr>
              <w:ind w:right="-3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  <w:p w:rsidR="00C5099B" w:rsidRDefault="00C5099B">
            <w:pPr>
              <w:ind w:right="-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9B" w:rsidRDefault="0008215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9B" w:rsidRDefault="00C5099B">
            <w:pPr>
              <w:pStyle w:val="ConsPlusNormal"/>
              <w:jc w:val="center"/>
            </w:pPr>
          </w:p>
        </w:tc>
      </w:tr>
    </w:tbl>
    <w:p w:rsidR="00C5099B" w:rsidRDefault="00C5099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5099B" w:rsidRDefault="00C5099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C5099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54" w:rsidRDefault="00082154">
      <w:r>
        <w:separator/>
      </w:r>
    </w:p>
  </w:endnote>
  <w:endnote w:type="continuationSeparator" w:id="0">
    <w:p w:rsidR="00082154" w:rsidRDefault="0008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54" w:rsidRDefault="00082154">
      <w:r>
        <w:separator/>
      </w:r>
    </w:p>
  </w:footnote>
  <w:footnote w:type="continuationSeparator" w:id="0">
    <w:p w:rsidR="00082154" w:rsidRDefault="0008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6CF48"/>
    <w:multiLevelType w:val="singleLevel"/>
    <w:tmpl w:val="4476CF48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B246DF5"/>
    <w:multiLevelType w:val="multilevel"/>
    <w:tmpl w:val="4B246DF5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4F192EBC"/>
    <w:multiLevelType w:val="multilevel"/>
    <w:tmpl w:val="4F192EBC"/>
    <w:lvl w:ilvl="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E1B3B"/>
    <w:multiLevelType w:val="singleLevel"/>
    <w:tmpl w:val="58AE1B3B"/>
    <w:lvl w:ilvl="0">
      <w:start w:val="1"/>
      <w:numFmt w:val="bullet"/>
      <w:lvlText w:val=""/>
      <w:lvlJc w:val="left"/>
      <w:pPr>
        <w:tabs>
          <w:tab w:val="left" w:pos="988"/>
        </w:tabs>
        <w:ind w:left="98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58"/>
    <w:rsid w:val="00010470"/>
    <w:rsid w:val="00012309"/>
    <w:rsid w:val="00024CC2"/>
    <w:rsid w:val="000274FC"/>
    <w:rsid w:val="0004441A"/>
    <w:rsid w:val="000458AD"/>
    <w:rsid w:val="00061D9C"/>
    <w:rsid w:val="00082154"/>
    <w:rsid w:val="000A61BA"/>
    <w:rsid w:val="000C5B0F"/>
    <w:rsid w:val="000E7099"/>
    <w:rsid w:val="00102083"/>
    <w:rsid w:val="00116C46"/>
    <w:rsid w:val="00137692"/>
    <w:rsid w:val="001426CC"/>
    <w:rsid w:val="0015480A"/>
    <w:rsid w:val="00157C53"/>
    <w:rsid w:val="00160270"/>
    <w:rsid w:val="00197BAA"/>
    <w:rsid w:val="001A3F8B"/>
    <w:rsid w:val="001B64D5"/>
    <w:rsid w:val="001C3B84"/>
    <w:rsid w:val="001C6CC9"/>
    <w:rsid w:val="001D05CA"/>
    <w:rsid w:val="001E7ADB"/>
    <w:rsid w:val="00202444"/>
    <w:rsid w:val="00236090"/>
    <w:rsid w:val="00245C60"/>
    <w:rsid w:val="00260294"/>
    <w:rsid w:val="002A186F"/>
    <w:rsid w:val="002C7453"/>
    <w:rsid w:val="002D3988"/>
    <w:rsid w:val="002D4C76"/>
    <w:rsid w:val="002D7506"/>
    <w:rsid w:val="002E2BD5"/>
    <w:rsid w:val="002F0C7D"/>
    <w:rsid w:val="0031620E"/>
    <w:rsid w:val="00340F55"/>
    <w:rsid w:val="00352E92"/>
    <w:rsid w:val="00374521"/>
    <w:rsid w:val="003A3CA4"/>
    <w:rsid w:val="003A7ED6"/>
    <w:rsid w:val="003D7551"/>
    <w:rsid w:val="003E1BD2"/>
    <w:rsid w:val="003F02E4"/>
    <w:rsid w:val="003F3B3F"/>
    <w:rsid w:val="003F6068"/>
    <w:rsid w:val="004165A6"/>
    <w:rsid w:val="00433038"/>
    <w:rsid w:val="00477412"/>
    <w:rsid w:val="004B6629"/>
    <w:rsid w:val="004D12B9"/>
    <w:rsid w:val="004F7BE7"/>
    <w:rsid w:val="00511A47"/>
    <w:rsid w:val="00511C46"/>
    <w:rsid w:val="00524B87"/>
    <w:rsid w:val="0053146F"/>
    <w:rsid w:val="0053537E"/>
    <w:rsid w:val="005D4C19"/>
    <w:rsid w:val="005F2C95"/>
    <w:rsid w:val="0063146B"/>
    <w:rsid w:val="0064111D"/>
    <w:rsid w:val="00677C86"/>
    <w:rsid w:val="00693235"/>
    <w:rsid w:val="00695625"/>
    <w:rsid w:val="006A25A4"/>
    <w:rsid w:val="006B4E0B"/>
    <w:rsid w:val="006C7E68"/>
    <w:rsid w:val="006D2779"/>
    <w:rsid w:val="006E6656"/>
    <w:rsid w:val="00720914"/>
    <w:rsid w:val="00775307"/>
    <w:rsid w:val="007A049B"/>
    <w:rsid w:val="007A2327"/>
    <w:rsid w:val="007A5656"/>
    <w:rsid w:val="007B46E0"/>
    <w:rsid w:val="007C0EA6"/>
    <w:rsid w:val="007C6432"/>
    <w:rsid w:val="007E5A6C"/>
    <w:rsid w:val="00805035"/>
    <w:rsid w:val="00815391"/>
    <w:rsid w:val="0082511B"/>
    <w:rsid w:val="0083758D"/>
    <w:rsid w:val="0084459C"/>
    <w:rsid w:val="0085023D"/>
    <w:rsid w:val="00851F77"/>
    <w:rsid w:val="00854989"/>
    <w:rsid w:val="008875A6"/>
    <w:rsid w:val="00892172"/>
    <w:rsid w:val="008B5EDE"/>
    <w:rsid w:val="008C52CE"/>
    <w:rsid w:val="008C6E54"/>
    <w:rsid w:val="008D7E9F"/>
    <w:rsid w:val="008E028C"/>
    <w:rsid w:val="008E762B"/>
    <w:rsid w:val="008F4D6C"/>
    <w:rsid w:val="009023EE"/>
    <w:rsid w:val="00902D15"/>
    <w:rsid w:val="00934499"/>
    <w:rsid w:val="00936C5D"/>
    <w:rsid w:val="00961184"/>
    <w:rsid w:val="00965C03"/>
    <w:rsid w:val="009931CE"/>
    <w:rsid w:val="009B4C3E"/>
    <w:rsid w:val="009C0E23"/>
    <w:rsid w:val="009E42BD"/>
    <w:rsid w:val="009F69A7"/>
    <w:rsid w:val="00A02F5C"/>
    <w:rsid w:val="00A10FDB"/>
    <w:rsid w:val="00A11B58"/>
    <w:rsid w:val="00A22470"/>
    <w:rsid w:val="00A27B0A"/>
    <w:rsid w:val="00AC12D9"/>
    <w:rsid w:val="00AD51BC"/>
    <w:rsid w:val="00AE68AA"/>
    <w:rsid w:val="00B22133"/>
    <w:rsid w:val="00B66DD6"/>
    <w:rsid w:val="00B855E4"/>
    <w:rsid w:val="00B93EF2"/>
    <w:rsid w:val="00BA03B8"/>
    <w:rsid w:val="00BC0B10"/>
    <w:rsid w:val="00BD6DBB"/>
    <w:rsid w:val="00BF114B"/>
    <w:rsid w:val="00C01249"/>
    <w:rsid w:val="00C05334"/>
    <w:rsid w:val="00C17A7E"/>
    <w:rsid w:val="00C202AD"/>
    <w:rsid w:val="00C269FB"/>
    <w:rsid w:val="00C326C3"/>
    <w:rsid w:val="00C41B0E"/>
    <w:rsid w:val="00C5099B"/>
    <w:rsid w:val="00C51147"/>
    <w:rsid w:val="00C6456C"/>
    <w:rsid w:val="00C93730"/>
    <w:rsid w:val="00CE0A9D"/>
    <w:rsid w:val="00D13BC6"/>
    <w:rsid w:val="00D13C02"/>
    <w:rsid w:val="00D30931"/>
    <w:rsid w:val="00D55D5D"/>
    <w:rsid w:val="00D75A9B"/>
    <w:rsid w:val="00DF1507"/>
    <w:rsid w:val="00E0595F"/>
    <w:rsid w:val="00E46A48"/>
    <w:rsid w:val="00E53A76"/>
    <w:rsid w:val="00E5794E"/>
    <w:rsid w:val="00E60A7C"/>
    <w:rsid w:val="00E81C7B"/>
    <w:rsid w:val="00EB63A4"/>
    <w:rsid w:val="00ED00F8"/>
    <w:rsid w:val="00ED03C7"/>
    <w:rsid w:val="00F22612"/>
    <w:rsid w:val="00F33D71"/>
    <w:rsid w:val="00F33FB5"/>
    <w:rsid w:val="00F3501F"/>
    <w:rsid w:val="00F4751B"/>
    <w:rsid w:val="00F6083D"/>
    <w:rsid w:val="00F61237"/>
    <w:rsid w:val="00FA2F9A"/>
    <w:rsid w:val="00FB789C"/>
    <w:rsid w:val="00FC5409"/>
    <w:rsid w:val="00FC62F2"/>
    <w:rsid w:val="00FD742A"/>
    <w:rsid w:val="00FE04C2"/>
    <w:rsid w:val="00FE13CF"/>
    <w:rsid w:val="00FF4FCD"/>
    <w:rsid w:val="00FF5B71"/>
    <w:rsid w:val="03FF434E"/>
    <w:rsid w:val="050B088C"/>
    <w:rsid w:val="077D695A"/>
    <w:rsid w:val="07901276"/>
    <w:rsid w:val="08F4637D"/>
    <w:rsid w:val="0E4A000F"/>
    <w:rsid w:val="176C71AA"/>
    <w:rsid w:val="18797600"/>
    <w:rsid w:val="1C221FBB"/>
    <w:rsid w:val="1ED02846"/>
    <w:rsid w:val="1F286B65"/>
    <w:rsid w:val="27AA4CBA"/>
    <w:rsid w:val="28231668"/>
    <w:rsid w:val="32CF735D"/>
    <w:rsid w:val="340810FF"/>
    <w:rsid w:val="35D36634"/>
    <w:rsid w:val="451D0004"/>
    <w:rsid w:val="45340F3E"/>
    <w:rsid w:val="46A86BFA"/>
    <w:rsid w:val="46ED44BB"/>
    <w:rsid w:val="5012776E"/>
    <w:rsid w:val="545C3D78"/>
    <w:rsid w:val="5A716ADB"/>
    <w:rsid w:val="5EB9648C"/>
    <w:rsid w:val="5FE9032D"/>
    <w:rsid w:val="619B1D89"/>
    <w:rsid w:val="6BA1720F"/>
    <w:rsid w:val="6E451A4C"/>
    <w:rsid w:val="77453A9C"/>
    <w:rsid w:val="77B927A8"/>
    <w:rsid w:val="7A224E94"/>
    <w:rsid w:val="7EC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016EA-7C55-4CCB-AED2-95E987B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qFormat/>
    <w:rPr>
      <w:rFonts w:asciiTheme="minorHAnsi" w:eastAsiaTheme="minorEastAsia" w:hAnsiTheme="minorHAnsi" w:cstheme="minorBidi"/>
    </w:rPr>
  </w:style>
  <w:style w:type="paragraph" w:styleId="a9">
    <w:name w:val="Normal (Web)"/>
    <w:basedOn w:val="a"/>
    <w:uiPriority w:val="99"/>
    <w:qFormat/>
    <w:pPr>
      <w:suppressAutoHyphens/>
      <w:spacing w:before="100" w:after="100"/>
    </w:pPr>
    <w:rPr>
      <w:sz w:val="24"/>
      <w:szCs w:val="24"/>
      <w:lang w:eastAsia="ar-SA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qFormat/>
    <w:locked/>
  </w:style>
  <w:style w:type="paragraph" w:customStyle="1" w:styleId="ad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e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a8">
    <w:name w:val="Текст сноски Знак"/>
    <w:basedOn w:val="a0"/>
    <w:link w:val="a7"/>
    <w:uiPriority w:val="99"/>
    <w:semiHidden/>
    <w:qFormat/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eastAsiaTheme="minorEastAsia"/>
      <w:bCs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E3DC-D117-4C1A-9697-40BA9DE3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22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USER03_1</dc:creator>
  <cp:lastModifiedBy>Puser_7T</cp:lastModifiedBy>
  <cp:revision>3</cp:revision>
  <cp:lastPrinted>2025-03-14T12:05:00Z</cp:lastPrinted>
  <dcterms:created xsi:type="dcterms:W3CDTF">2025-03-17T11:58:00Z</dcterms:created>
  <dcterms:modified xsi:type="dcterms:W3CDTF">2025-03-17T13:39:00Z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B672B14076494FD39AE6D9B62EE204E0_12</vt:lpwstr>
  </property>
</Properties>
</file>